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064DB" w14:textId="77777777" w:rsidR="00844602" w:rsidRPr="00844602" w:rsidRDefault="00844602" w:rsidP="00844602">
      <w:pPr>
        <w:tabs>
          <w:tab w:val="center" w:pos="4680"/>
          <w:tab w:val="right" w:pos="9360"/>
        </w:tabs>
        <w:jc w:val="right"/>
        <w:rPr>
          <w:rFonts w:eastAsia="Calibri"/>
          <w:i/>
          <w:iCs/>
          <w:sz w:val="20"/>
          <w:szCs w:val="20"/>
          <w:lang w:val="en-US" w:eastAsia="en-US"/>
        </w:rPr>
      </w:pPr>
      <w:r w:rsidRPr="00844602">
        <w:rPr>
          <w:rFonts w:eastAsia="Calibri"/>
          <w:i/>
          <w:iCs/>
          <w:sz w:val="20"/>
          <w:szCs w:val="20"/>
          <w:lang w:val="en-US" w:eastAsia="en-US"/>
        </w:rPr>
        <w:t>Research Journal of Language and Literary Studies</w:t>
      </w:r>
    </w:p>
    <w:p w14:paraId="181A1AD3" w14:textId="2831D228" w:rsidR="00844602" w:rsidRDefault="00844602" w:rsidP="00844602">
      <w:pPr>
        <w:tabs>
          <w:tab w:val="center" w:pos="4680"/>
          <w:tab w:val="right" w:pos="9360"/>
        </w:tabs>
        <w:jc w:val="right"/>
        <w:rPr>
          <w:rFonts w:eastAsia="Calibri"/>
          <w:i/>
          <w:iCs/>
          <w:sz w:val="20"/>
          <w:szCs w:val="20"/>
          <w:lang w:val="en-US" w:eastAsia="en-US"/>
        </w:rPr>
      </w:pPr>
      <w:r w:rsidRPr="00844602">
        <w:rPr>
          <w:rFonts w:eastAsia="Calibri"/>
          <w:i/>
          <w:iCs/>
          <w:sz w:val="20"/>
          <w:szCs w:val="20"/>
          <w:lang w:val="en-US" w:eastAsia="en-US"/>
        </w:rPr>
        <w:t xml:space="preserve">Spring 2024, Volume 4, No.1, pp </w:t>
      </w:r>
      <w:r w:rsidR="00E22B0E">
        <w:rPr>
          <w:rFonts w:eastAsia="Calibri"/>
          <w:i/>
          <w:iCs/>
          <w:sz w:val="20"/>
          <w:szCs w:val="20"/>
          <w:lang w:val="en-US" w:eastAsia="en-US"/>
        </w:rPr>
        <w:t>91-</w:t>
      </w:r>
      <w:r w:rsidR="0085745A">
        <w:rPr>
          <w:rFonts w:eastAsia="Calibri"/>
          <w:i/>
          <w:iCs/>
          <w:sz w:val="20"/>
          <w:szCs w:val="20"/>
          <w:lang w:val="en-US" w:eastAsia="en-US"/>
        </w:rPr>
        <w:t>116</w:t>
      </w:r>
    </w:p>
    <w:p w14:paraId="3C83CE65" w14:textId="77777777" w:rsidR="00844602" w:rsidRPr="00844602" w:rsidRDefault="00844602" w:rsidP="00844602">
      <w:pPr>
        <w:tabs>
          <w:tab w:val="center" w:pos="4680"/>
          <w:tab w:val="right" w:pos="9360"/>
        </w:tabs>
        <w:jc w:val="right"/>
        <w:rPr>
          <w:rFonts w:eastAsia="Calibri"/>
          <w:i/>
          <w:iCs/>
          <w:sz w:val="20"/>
          <w:szCs w:val="20"/>
          <w:rtl/>
          <w:lang w:val="en-US" w:eastAsia="en-US"/>
        </w:rPr>
      </w:pPr>
    </w:p>
    <w:p w14:paraId="2791C5F2" w14:textId="49F20928" w:rsidR="0074709E" w:rsidRPr="00D51564" w:rsidRDefault="009103BD" w:rsidP="00580634">
      <w:pPr>
        <w:jc w:val="center"/>
        <w:rPr>
          <w:rFonts w:asciiTheme="majorBidi" w:hAnsiTheme="majorBidi" w:cstheme="majorBidi"/>
          <w:b/>
          <w:sz w:val="28"/>
          <w:szCs w:val="28"/>
        </w:rPr>
      </w:pPr>
      <w:r w:rsidRPr="00D51564">
        <w:rPr>
          <w:rFonts w:asciiTheme="majorBidi" w:hAnsiTheme="majorBidi" w:cstheme="majorBidi"/>
          <w:b/>
          <w:sz w:val="28"/>
          <w:szCs w:val="28"/>
        </w:rPr>
        <w:t xml:space="preserve">SLOW VIOLENCE – GENDER, INTERSECTIONALITY, AND CLIMATE VULNERABILITIES: AN ANALYTICAL STUDY OF </w:t>
      </w:r>
      <w:r w:rsidRPr="00D51564">
        <w:rPr>
          <w:rFonts w:asciiTheme="majorBidi" w:hAnsiTheme="majorBidi" w:cstheme="majorBidi"/>
          <w:b/>
          <w:i/>
          <w:sz w:val="28"/>
          <w:szCs w:val="28"/>
        </w:rPr>
        <w:t>THINNER THAN SKIN</w:t>
      </w:r>
    </w:p>
    <w:p w14:paraId="1E6392CF" w14:textId="77777777" w:rsidR="00B34312" w:rsidRDefault="00B34312" w:rsidP="00580634">
      <w:pPr>
        <w:jc w:val="center"/>
        <w:rPr>
          <w:rFonts w:asciiTheme="majorBidi" w:hAnsiTheme="majorBidi" w:cstheme="majorBidi"/>
        </w:rPr>
      </w:pPr>
    </w:p>
    <w:p w14:paraId="6D03C405" w14:textId="4150B427" w:rsidR="0074709E" w:rsidRPr="00580634" w:rsidRDefault="0085745A" w:rsidP="0085745A">
      <w:pPr>
        <w:pBdr>
          <w:bottom w:val="single" w:sz="4" w:space="1" w:color="auto"/>
        </w:pBdr>
        <w:tabs>
          <w:tab w:val="center" w:pos="3744"/>
          <w:tab w:val="right" w:pos="7488"/>
        </w:tabs>
        <w:rPr>
          <w:rFonts w:asciiTheme="majorBidi" w:hAnsiTheme="majorBidi" w:cstheme="majorBidi"/>
        </w:rPr>
      </w:pPr>
      <w:r>
        <w:rPr>
          <w:rFonts w:asciiTheme="majorBidi" w:hAnsiTheme="majorBidi" w:cstheme="majorBidi"/>
        </w:rPr>
        <w:tab/>
      </w:r>
      <w:r w:rsidR="009103BD" w:rsidRPr="00580634">
        <w:rPr>
          <w:rFonts w:asciiTheme="majorBidi" w:hAnsiTheme="majorBidi" w:cstheme="majorBidi"/>
        </w:rPr>
        <w:t>Majeed MUNAZZA</w:t>
      </w:r>
      <w:r w:rsidR="00AA7214">
        <w:rPr>
          <w:rStyle w:val="FootnoteReference"/>
          <w:rFonts w:asciiTheme="majorBidi" w:hAnsiTheme="majorBidi" w:cstheme="majorBidi"/>
        </w:rPr>
        <w:footnoteReference w:id="1"/>
      </w:r>
      <w:r w:rsidR="009103BD" w:rsidRPr="00580634">
        <w:rPr>
          <w:rFonts w:asciiTheme="majorBidi" w:hAnsiTheme="majorBidi" w:cstheme="majorBidi"/>
        </w:rPr>
        <w:t>,</w:t>
      </w:r>
      <w:r w:rsidR="00B63BA0">
        <w:rPr>
          <w:rFonts w:asciiTheme="majorBidi" w:hAnsiTheme="majorBidi" w:cstheme="majorBidi"/>
        </w:rPr>
        <w:t xml:space="preserve"> </w:t>
      </w:r>
      <w:r w:rsidR="009103BD" w:rsidRPr="00580634">
        <w:rPr>
          <w:rFonts w:asciiTheme="majorBidi" w:hAnsiTheme="majorBidi" w:cstheme="majorBidi"/>
        </w:rPr>
        <w:t>Bhatti SHAHEENA AYUB</w:t>
      </w:r>
      <w:bookmarkStart w:id="0" w:name="_Toc498243632"/>
      <w:r w:rsidR="00AA7214">
        <w:rPr>
          <w:rStyle w:val="FootnoteReference"/>
          <w:rFonts w:asciiTheme="majorBidi" w:hAnsiTheme="majorBidi" w:cstheme="majorBidi"/>
        </w:rPr>
        <w:footnoteReference w:id="2"/>
      </w:r>
      <w:r>
        <w:rPr>
          <w:rFonts w:asciiTheme="majorBidi" w:hAnsiTheme="majorBidi" w:cstheme="majorBidi"/>
        </w:rPr>
        <w:tab/>
      </w:r>
    </w:p>
    <w:p w14:paraId="4483F631" w14:textId="77777777" w:rsidR="00C75BEA" w:rsidRDefault="00C75BEA" w:rsidP="00921F56">
      <w:pPr>
        <w:pStyle w:val="AuthorInfo"/>
        <w:tabs>
          <w:tab w:val="clear" w:pos="8640"/>
        </w:tabs>
        <w:spacing w:line="240" w:lineRule="auto"/>
        <w:jc w:val="left"/>
        <w:rPr>
          <w:rFonts w:asciiTheme="majorBidi" w:hAnsiTheme="majorBidi" w:cstheme="majorBidi"/>
          <w:b/>
          <w:bCs/>
          <w:iCs/>
        </w:rPr>
      </w:pPr>
    </w:p>
    <w:p w14:paraId="158891BE" w14:textId="77777777" w:rsidR="0074709E" w:rsidRPr="00580634" w:rsidRDefault="009103BD" w:rsidP="00325FD5">
      <w:pPr>
        <w:pStyle w:val="AuthorInfo"/>
        <w:tabs>
          <w:tab w:val="clear" w:pos="8640"/>
        </w:tabs>
        <w:spacing w:line="240" w:lineRule="auto"/>
        <w:jc w:val="both"/>
        <w:rPr>
          <w:rFonts w:asciiTheme="majorBidi" w:hAnsiTheme="majorBidi" w:cstheme="majorBidi"/>
          <w:b/>
          <w:bCs/>
          <w:iCs/>
        </w:rPr>
      </w:pPr>
      <w:r w:rsidRPr="00580634">
        <w:rPr>
          <w:rFonts w:asciiTheme="majorBidi" w:hAnsiTheme="majorBidi" w:cstheme="majorBidi"/>
          <w:b/>
          <w:bCs/>
          <w:iCs/>
        </w:rPr>
        <w:t>ABSTRACT</w:t>
      </w:r>
      <w:bookmarkEnd w:id="0"/>
    </w:p>
    <w:p w14:paraId="334BD4A1" w14:textId="723B0534" w:rsidR="0074709E" w:rsidRPr="00580634" w:rsidRDefault="009103BD" w:rsidP="00325FD5">
      <w:pPr>
        <w:jc w:val="both"/>
        <w:rPr>
          <w:rFonts w:asciiTheme="majorBidi" w:hAnsiTheme="majorBidi" w:cstheme="majorBidi"/>
        </w:rPr>
      </w:pPr>
      <w:r w:rsidRPr="00580634">
        <w:rPr>
          <w:rFonts w:asciiTheme="majorBidi" w:hAnsiTheme="majorBidi" w:cstheme="majorBidi"/>
        </w:rPr>
        <w:t>This article intends to comprehend the complex relation between gender, intersectionality, and climate vulnerabilities. For this purpose</w:t>
      </w:r>
      <w:r w:rsidR="00AA7214">
        <w:rPr>
          <w:rFonts w:asciiTheme="majorBidi" w:hAnsiTheme="majorBidi" w:cstheme="majorBidi"/>
        </w:rPr>
        <w:t>,</w:t>
      </w:r>
      <w:r w:rsidRPr="00580634">
        <w:rPr>
          <w:rFonts w:asciiTheme="majorBidi" w:hAnsiTheme="majorBidi" w:cstheme="majorBidi"/>
        </w:rPr>
        <w:t xml:space="preserve"> we have chosen the fiction</w:t>
      </w:r>
      <w:r w:rsidR="00AA7214">
        <w:rPr>
          <w:rFonts w:asciiTheme="majorBidi" w:hAnsiTheme="majorBidi" w:cstheme="majorBidi"/>
        </w:rPr>
        <w:t>al</w:t>
      </w:r>
      <w:r w:rsidRPr="00580634">
        <w:rPr>
          <w:rFonts w:asciiTheme="majorBidi" w:hAnsiTheme="majorBidi" w:cstheme="majorBidi"/>
        </w:rPr>
        <w:t xml:space="preserve"> work </w:t>
      </w:r>
      <w:r w:rsidRPr="00580634">
        <w:rPr>
          <w:rFonts w:asciiTheme="majorBidi" w:hAnsiTheme="majorBidi" w:cstheme="majorBidi"/>
          <w:i/>
        </w:rPr>
        <w:t>Thinner than Skin</w:t>
      </w:r>
      <w:r w:rsidRPr="00580634">
        <w:rPr>
          <w:rStyle w:val="FootnoteReference"/>
          <w:rFonts w:asciiTheme="majorBidi" w:hAnsiTheme="majorBidi" w:cstheme="majorBidi"/>
          <w:i/>
        </w:rPr>
        <w:footnoteReference w:id="3"/>
      </w:r>
      <w:r w:rsidRPr="00580634">
        <w:rPr>
          <w:rFonts w:asciiTheme="majorBidi" w:hAnsiTheme="majorBidi" w:cstheme="majorBidi"/>
          <w:i/>
        </w:rPr>
        <w:t xml:space="preserve"> </w:t>
      </w:r>
      <w:r w:rsidRPr="00580634">
        <w:rPr>
          <w:rFonts w:asciiTheme="majorBidi" w:hAnsiTheme="majorBidi" w:cstheme="majorBidi"/>
        </w:rPr>
        <w:t xml:space="preserve">by Uzma Aslam Khan. The theoretical framework for conducting this qualitative research has been built by using the underpinnings from </w:t>
      </w:r>
      <w:r w:rsidR="00AA7214">
        <w:rPr>
          <w:rFonts w:asciiTheme="majorBidi" w:hAnsiTheme="majorBidi" w:cstheme="majorBidi"/>
        </w:rPr>
        <w:t xml:space="preserve">Rob </w:t>
      </w:r>
      <w:r w:rsidRPr="00580634">
        <w:rPr>
          <w:rFonts w:asciiTheme="majorBidi" w:hAnsiTheme="majorBidi" w:cstheme="majorBidi"/>
        </w:rPr>
        <w:t xml:space="preserve">Nixon’s </w:t>
      </w:r>
      <w:r w:rsidRPr="00580634">
        <w:rPr>
          <w:rFonts w:asciiTheme="majorBidi" w:hAnsiTheme="majorBidi" w:cstheme="majorBidi"/>
          <w:i/>
        </w:rPr>
        <w:t>Slow Violence and the Environmentalism of the Poor</w:t>
      </w:r>
      <w:r w:rsidRPr="00580634">
        <w:rPr>
          <w:rStyle w:val="FootnoteReference"/>
          <w:rFonts w:asciiTheme="majorBidi" w:hAnsiTheme="majorBidi" w:cstheme="majorBidi"/>
          <w:i/>
        </w:rPr>
        <w:footnoteReference w:id="4"/>
      </w:r>
      <w:r w:rsidRPr="00580634">
        <w:rPr>
          <w:rFonts w:asciiTheme="majorBidi" w:hAnsiTheme="majorBidi" w:cstheme="majorBidi"/>
        </w:rPr>
        <w:t xml:space="preserve">. The term slow violence stands for delayed destruction that is attritional and incremental in nature because exploitation of the poor people and their ecology results in delayed destruction that spans over time and space. The theory of slow violence underscores intersectionality by defining ‘poor’ as a compendious category that is used for those people who are victims of marginalization on biological, economic, racial, ethnic, religious, or other grounds. There is intersectionality between various systems of oppression that make the existence of the poor vulnerable. Textual exegesis of </w:t>
      </w:r>
      <w:r w:rsidRPr="00580634">
        <w:rPr>
          <w:rFonts w:asciiTheme="majorBidi" w:hAnsiTheme="majorBidi" w:cstheme="majorBidi"/>
          <w:i/>
        </w:rPr>
        <w:t>TTS</w:t>
      </w:r>
      <w:r w:rsidRPr="00580634">
        <w:rPr>
          <w:rFonts w:asciiTheme="majorBidi" w:hAnsiTheme="majorBidi" w:cstheme="majorBidi"/>
        </w:rPr>
        <w:t xml:space="preserve"> accentuates that Maryam is marginalised on the basis of gender, ethnicity, religion, and class. There is a whole chain of hegemonic overlords with intersecting interests which worsens the standard of life and even threatens the very existence of Maryam’s family. This family of Steppe herders faces stationary displacement as their vernacular landscape is slowly </w:t>
      </w:r>
      <w:r w:rsidRPr="00580634">
        <w:rPr>
          <w:rFonts w:asciiTheme="majorBidi" w:hAnsiTheme="majorBidi" w:cstheme="majorBidi"/>
        </w:rPr>
        <w:lastRenderedPageBreak/>
        <w:t>and gradually turned into official landscape. Hence, they are pitted against climate vulnerabilities owing to incremental and attritional slow violence. The article concludes that poor stratum of the society is more likely to confront climate vulnerabilities because human disposability and ecological disposability are inseparable. The research anticipates to disrupt the conditions of repudiation faced by women who confront climate vulnerabilities due to marginalization on various intersectional grounds.</w:t>
      </w:r>
    </w:p>
    <w:p w14:paraId="7F28FD93" w14:textId="77777777" w:rsidR="0074709E" w:rsidRPr="00580634" w:rsidRDefault="009103BD" w:rsidP="00325FD5">
      <w:pPr>
        <w:pStyle w:val="AbstractText"/>
        <w:tabs>
          <w:tab w:val="clear" w:pos="8640"/>
        </w:tabs>
        <w:spacing w:line="240" w:lineRule="auto"/>
        <w:jc w:val="both"/>
        <w:rPr>
          <w:rStyle w:val="Strong"/>
          <w:rFonts w:asciiTheme="majorBidi" w:hAnsiTheme="majorBidi" w:cstheme="majorBidi"/>
          <w:szCs w:val="24"/>
        </w:rPr>
      </w:pPr>
      <w:r w:rsidRPr="00580634">
        <w:rPr>
          <w:rFonts w:asciiTheme="majorBidi" w:hAnsiTheme="majorBidi" w:cstheme="majorBidi"/>
          <w:bCs/>
          <w:iCs/>
          <w:szCs w:val="24"/>
        </w:rPr>
        <w:t>Keywords: i</w:t>
      </w:r>
      <w:r w:rsidRPr="00580634">
        <w:rPr>
          <w:rFonts w:asciiTheme="majorBidi" w:hAnsiTheme="majorBidi" w:cstheme="majorBidi"/>
          <w:szCs w:val="24"/>
        </w:rPr>
        <w:t>ntersectionality, slow violence, poor, disposability, climate vulnerability</w:t>
      </w:r>
      <w:r w:rsidRPr="00580634">
        <w:rPr>
          <w:rStyle w:val="Strong"/>
          <w:rFonts w:asciiTheme="majorBidi" w:hAnsiTheme="majorBidi" w:cstheme="majorBidi"/>
          <w:szCs w:val="24"/>
        </w:rPr>
        <w:t xml:space="preserve"> </w:t>
      </w:r>
    </w:p>
    <w:p w14:paraId="6294EF7B" w14:textId="77777777" w:rsidR="0074709E" w:rsidRPr="00580634" w:rsidRDefault="0074709E" w:rsidP="00325FD5">
      <w:pPr>
        <w:jc w:val="both"/>
        <w:rPr>
          <w:rFonts w:asciiTheme="majorBidi" w:hAnsiTheme="majorBidi" w:cstheme="majorBidi"/>
          <w:b/>
        </w:rPr>
      </w:pPr>
    </w:p>
    <w:p w14:paraId="06B41DED" w14:textId="77777777" w:rsidR="002F1F45" w:rsidRDefault="009103BD" w:rsidP="00325FD5">
      <w:pPr>
        <w:jc w:val="both"/>
        <w:rPr>
          <w:rFonts w:asciiTheme="majorBidi" w:hAnsiTheme="majorBidi" w:cstheme="majorBidi"/>
          <w:b/>
        </w:rPr>
      </w:pPr>
      <w:r w:rsidRPr="00580634">
        <w:rPr>
          <w:rFonts w:asciiTheme="majorBidi" w:hAnsiTheme="majorBidi" w:cstheme="majorBidi"/>
          <w:b/>
        </w:rPr>
        <w:t>Introduction</w:t>
      </w:r>
    </w:p>
    <w:p w14:paraId="46ECB137" w14:textId="77777777" w:rsidR="0074709E" w:rsidRPr="002F1F45" w:rsidRDefault="009103BD" w:rsidP="00325FD5">
      <w:pPr>
        <w:jc w:val="both"/>
        <w:rPr>
          <w:rFonts w:asciiTheme="majorBidi" w:hAnsiTheme="majorBidi" w:cstheme="majorBidi"/>
          <w:b/>
        </w:rPr>
      </w:pPr>
      <w:r w:rsidRPr="00580634">
        <w:rPr>
          <w:rFonts w:asciiTheme="majorBidi" w:hAnsiTheme="majorBidi" w:cstheme="majorBidi"/>
        </w:rPr>
        <w:t>Gender, intersectionality, and climate vulnerabilities are interconnected as human and ecological exploitation are interconnected. Nixon’s theory of slow violence conjoins human’s marginalization with exploitation of the land and its resources by using the term slow violence: “a violence that occurs gradually and out of sight, a violence of delayed destruction that is dispersed over time and space” (</w:t>
      </w:r>
      <w:r w:rsidRPr="00580634">
        <w:rPr>
          <w:rFonts w:asciiTheme="majorBidi" w:hAnsiTheme="majorBidi" w:cstheme="majorBidi"/>
          <w:i/>
        </w:rPr>
        <w:t xml:space="preserve">SV </w:t>
      </w:r>
      <w:r w:rsidRPr="00580634">
        <w:rPr>
          <w:rFonts w:asciiTheme="majorBidi" w:hAnsiTheme="majorBidi" w:cstheme="majorBidi"/>
        </w:rPr>
        <w:t xml:space="preserve">2). It is attritional, incremental and accretive with “its calamitous repercussions playing out across a range of temporal scales” and thus causing climate vulnerabilities (Nixon, </w:t>
      </w:r>
      <w:r w:rsidRPr="00580634">
        <w:rPr>
          <w:rFonts w:asciiTheme="majorBidi" w:hAnsiTheme="majorBidi" w:cstheme="majorBidi"/>
          <w:i/>
        </w:rPr>
        <w:t>SV</w:t>
      </w:r>
      <w:r w:rsidRPr="00580634">
        <w:rPr>
          <w:rFonts w:asciiTheme="majorBidi" w:hAnsiTheme="majorBidi" w:cstheme="majorBidi"/>
        </w:rPr>
        <w:t xml:space="preserve"> 2). Since the term ‘poor’ is defined by Nixon as “a compendious category subject to almost infinite local variation,” it encompasses the concept of intersectionality within it (</w:t>
      </w:r>
      <w:r w:rsidRPr="00580634">
        <w:rPr>
          <w:rFonts w:asciiTheme="majorBidi" w:hAnsiTheme="majorBidi" w:cstheme="majorBidi"/>
          <w:i/>
        </w:rPr>
        <w:t>SV</w:t>
      </w:r>
      <w:r w:rsidRPr="00580634">
        <w:rPr>
          <w:rFonts w:asciiTheme="majorBidi" w:hAnsiTheme="majorBidi" w:cstheme="majorBidi"/>
        </w:rPr>
        <w:t xml:space="preserve"> 4). Carty and Mohanty, among the founding figures of the theory of intersectionality, state “that we are actually living at the intersections of overlapping systems of privilege and oppression” (qtd. in Coleman).  The word ‘poor’ encompasses within it marginalization on the basis of gender, class, race, ethnicity, religion etc. The theory of slow violence underscores the relation between gender, intersectionality and climate vulnerabilities by conjoining “ecological and human disposability” (Nixon, </w:t>
      </w:r>
      <w:r w:rsidRPr="00580634">
        <w:rPr>
          <w:rFonts w:asciiTheme="majorBidi" w:hAnsiTheme="majorBidi" w:cstheme="majorBidi"/>
          <w:i/>
        </w:rPr>
        <w:t>SV</w:t>
      </w:r>
      <w:r w:rsidRPr="00580634">
        <w:rPr>
          <w:rFonts w:asciiTheme="majorBidi" w:hAnsiTheme="majorBidi" w:cstheme="majorBidi"/>
        </w:rPr>
        <w:t xml:space="preserve"> 4). The lives of the poor women are (de)shaped by the logic of “attritional environmental violence, poverty, and malnutrition” (Nixon, </w:t>
      </w:r>
      <w:r w:rsidRPr="00580634">
        <w:rPr>
          <w:rFonts w:asciiTheme="majorBidi" w:hAnsiTheme="majorBidi" w:cstheme="majorBidi"/>
          <w:i/>
        </w:rPr>
        <w:t>SV</w:t>
      </w:r>
      <w:r w:rsidRPr="00580634">
        <w:rPr>
          <w:rFonts w:asciiTheme="majorBidi" w:hAnsiTheme="majorBidi" w:cstheme="majorBidi"/>
        </w:rPr>
        <w:t xml:space="preserve"> 140). To understand the link between gender, intersectionality and climate vulnerabilities, we have analysed a fiction work </w:t>
      </w:r>
      <w:r w:rsidRPr="00580634">
        <w:rPr>
          <w:rFonts w:asciiTheme="majorBidi" w:hAnsiTheme="majorBidi" w:cstheme="majorBidi"/>
          <w:i/>
        </w:rPr>
        <w:t xml:space="preserve">Thinner than Skin </w:t>
      </w:r>
      <w:r w:rsidRPr="00580634">
        <w:rPr>
          <w:rFonts w:asciiTheme="majorBidi" w:hAnsiTheme="majorBidi" w:cstheme="majorBidi"/>
        </w:rPr>
        <w:t xml:space="preserve">by Uzma Aslam Khan (2012) through the framework of slow violence as expounded by Rob Nixon in his book </w:t>
      </w:r>
      <w:r w:rsidRPr="00580634">
        <w:rPr>
          <w:rFonts w:asciiTheme="majorBidi" w:hAnsiTheme="majorBidi" w:cstheme="majorBidi"/>
          <w:i/>
        </w:rPr>
        <w:t>Slow Violence: An Environmentalism of the Poor</w:t>
      </w:r>
      <w:r w:rsidRPr="00580634">
        <w:rPr>
          <w:rFonts w:asciiTheme="majorBidi" w:hAnsiTheme="majorBidi" w:cstheme="majorBidi"/>
        </w:rPr>
        <w:t xml:space="preserve"> (2011). The </w:t>
      </w:r>
      <w:r w:rsidRPr="00580634">
        <w:rPr>
          <w:rFonts w:asciiTheme="majorBidi" w:hAnsiTheme="majorBidi" w:cstheme="majorBidi"/>
        </w:rPr>
        <w:lastRenderedPageBreak/>
        <w:t>protagonist of the novel is a female belonging to the nomadic tribes of the Steppe herders who still clings to shamanistic practices followed by her ancestors while living in a society which imposes uniformity by dictating through oppressive system to turn into sedentary settled members of the society and follow Islam. Confronted with hegemonic state practices coupled with the tragic loss of her daughter at the hands of the tourists from America, Maryam becomes a victim under the aegis of “systems of oppression which construct our multiple identities and our social locations in hierarchies of power and privilege” (Carastathis 304).</w:t>
      </w:r>
    </w:p>
    <w:p w14:paraId="01575397" w14:textId="77777777" w:rsidR="0074709E" w:rsidRPr="00580634" w:rsidRDefault="0074709E" w:rsidP="00325FD5">
      <w:pPr>
        <w:jc w:val="both"/>
        <w:rPr>
          <w:rFonts w:asciiTheme="majorBidi" w:hAnsiTheme="majorBidi" w:cstheme="majorBidi"/>
        </w:rPr>
      </w:pPr>
    </w:p>
    <w:p w14:paraId="0E2E7BB6" w14:textId="77777777" w:rsidR="0074709E" w:rsidRPr="00580634" w:rsidRDefault="009103BD" w:rsidP="00325FD5">
      <w:pPr>
        <w:jc w:val="both"/>
        <w:rPr>
          <w:rFonts w:asciiTheme="majorBidi" w:hAnsiTheme="majorBidi" w:cstheme="majorBidi"/>
          <w:b/>
        </w:rPr>
      </w:pPr>
      <w:r w:rsidRPr="00580634">
        <w:rPr>
          <w:rFonts w:asciiTheme="majorBidi" w:hAnsiTheme="majorBidi" w:cstheme="majorBidi"/>
          <w:b/>
        </w:rPr>
        <w:t xml:space="preserve">Literature Review </w:t>
      </w:r>
    </w:p>
    <w:p w14:paraId="284C9CE8" w14:textId="77777777" w:rsidR="0074709E" w:rsidRPr="00580634" w:rsidRDefault="009103BD" w:rsidP="00325FD5">
      <w:pPr>
        <w:jc w:val="both"/>
        <w:rPr>
          <w:rFonts w:asciiTheme="majorBidi" w:hAnsiTheme="majorBidi" w:cstheme="majorBidi"/>
        </w:rPr>
      </w:pPr>
      <w:r w:rsidRPr="00580634">
        <w:rPr>
          <w:rFonts w:asciiTheme="majorBidi" w:hAnsiTheme="majorBidi" w:cstheme="majorBidi"/>
        </w:rPr>
        <w:t xml:space="preserve">Gender and Environment - Ecofeminism </w:t>
      </w:r>
    </w:p>
    <w:p w14:paraId="1E2C4092" w14:textId="77777777" w:rsidR="0074709E" w:rsidRPr="00580634" w:rsidRDefault="009103BD" w:rsidP="00325FD5">
      <w:pPr>
        <w:ind w:firstLine="720"/>
        <w:jc w:val="both"/>
        <w:rPr>
          <w:rFonts w:asciiTheme="majorBidi" w:hAnsiTheme="majorBidi" w:cstheme="majorBidi"/>
        </w:rPr>
      </w:pPr>
      <w:r w:rsidRPr="00580634">
        <w:rPr>
          <w:rFonts w:asciiTheme="majorBidi" w:hAnsiTheme="majorBidi" w:cstheme="majorBidi"/>
        </w:rPr>
        <w:t>There is a direct link between environmental exploitation and women rights as women have to bear the brunt of exploitation causing scarcity of resources, displacement, dispossession, and climate vulnerabilities even more directly than their men folk. Females’ exploitation and natures’ exploitation are interlinked as in androcentric societies both women and nature are treated as objects that need to be tamed/ used by men. Ecofeminism, an offshoot of ecocriticism, is a literary movement that aims to bring an end to</w:t>
      </w:r>
      <w:r w:rsidRPr="00580634">
        <w:rPr>
          <w:rFonts w:asciiTheme="majorBidi" w:hAnsiTheme="majorBidi" w:cstheme="majorBidi"/>
          <w:color w:val="E36C0A" w:themeColor="accent6" w:themeShade="BF"/>
        </w:rPr>
        <w:t xml:space="preserve"> </w:t>
      </w:r>
      <w:r w:rsidRPr="00580634">
        <w:rPr>
          <w:rFonts w:asciiTheme="majorBidi" w:hAnsiTheme="majorBidi" w:cstheme="majorBidi"/>
        </w:rPr>
        <w:t>any particular group’s domination in order to make an egalitarian society. Ecofeminism, unison of environmental studies and gender studies, is quite old as it started in late 1970s and early 1980s in the form of different conferences for raising the status of nature as well as of women, as both are marginalised. The term ‘ecofeminsim’ was coined in 1974 by Francoise d’Eaubonne, a French feminist who linked the oppression of marginalised groups like women, children, and poor with the exploitation of natural resources like water, air, minerals, land; stressing that patriarchal society has injured them all by causing irreversible damage.</w:t>
      </w:r>
    </w:p>
    <w:p w14:paraId="22B5D96D" w14:textId="77777777" w:rsidR="0074709E" w:rsidRPr="00580634" w:rsidRDefault="009103BD" w:rsidP="00325FD5">
      <w:pPr>
        <w:ind w:firstLine="720"/>
        <w:jc w:val="both"/>
        <w:rPr>
          <w:rFonts w:asciiTheme="majorBidi" w:hAnsiTheme="majorBidi" w:cstheme="majorBidi"/>
        </w:rPr>
      </w:pPr>
      <w:r w:rsidRPr="00580634">
        <w:rPr>
          <w:rFonts w:asciiTheme="majorBidi" w:hAnsiTheme="majorBidi" w:cstheme="majorBidi"/>
        </w:rPr>
        <w:t xml:space="preserve">Ecofeminism criticises androcentricism with its narrative of male dominance and identifies androcentric dualism (man/woman) as root cause of environmental imbalance. Rosemary Ruether was among the founders of ecofeminism who urged feminists and environmentalists to work together for ending exploitation of women and nature. As women are closely connected with nature; therefore, struggle for ecological survival is very much </w:t>
      </w:r>
      <w:r w:rsidRPr="00580634">
        <w:rPr>
          <w:rFonts w:asciiTheme="majorBidi" w:hAnsiTheme="majorBidi" w:cstheme="majorBidi"/>
        </w:rPr>
        <w:lastRenderedPageBreak/>
        <w:t xml:space="preserve">connected with the struggle for female liberation. Kathryn Miles stresses upon the association between women and nature as both are nurturers; a quality that makes women “more sensitive to the sanctity and degradation of environment” (Miles Web). Women are closer to nature as they are biologically linked with creativity; one of the reasons why nature is taken as feminist space. To put it in Doubiago’s words: “ecology consciousness is traditional woman consciousness” (41). In biological terms, women have “the truths of naturalism and the holistic proclivities” and greater ability of adaptation and acculturation (Spretnak 128-9). These are the qualities that can lead to an ecologically congenial behaviour towards flora and fauna. </w:t>
      </w:r>
    </w:p>
    <w:p w14:paraId="3562E528" w14:textId="77777777" w:rsidR="0074709E" w:rsidRPr="00580634" w:rsidRDefault="009103BD" w:rsidP="00325FD5">
      <w:pPr>
        <w:ind w:firstLine="720"/>
        <w:jc w:val="both"/>
        <w:rPr>
          <w:rFonts w:asciiTheme="majorBidi" w:hAnsiTheme="majorBidi" w:cstheme="majorBidi"/>
        </w:rPr>
      </w:pPr>
      <w:r w:rsidRPr="00580634">
        <w:rPr>
          <w:rFonts w:asciiTheme="majorBidi" w:hAnsiTheme="majorBidi" w:cstheme="majorBidi"/>
        </w:rPr>
        <w:t xml:space="preserve">However, ecofeminism is not just restricted to women rights as it “celebrates diversity and opposes all forms of domination and violence,” as Ynestra King thinks that environmental simplification and biological simplification must be avoided (King 330). Just as natural world is facing considerable reduction in biodiversity, humans are also being reduced into mere entities under hegemonic structures. Hence, ecofeminists’ concern did not remain restricted to gender merely but with almost every kind of marginalization. “Creative texts intertwine discourse on women and the environment with discussion of diverse forms of social injustice” (Buell et al 425). Gaard and Murphy state that nature’s exploitation and female’s exploitation “are bound up with class exploitation, racism, colonialism, and neo-colonialism” (3). </w:t>
      </w:r>
    </w:p>
    <w:p w14:paraId="2DFDF45B" w14:textId="77777777" w:rsidR="0074709E" w:rsidRPr="00580634" w:rsidRDefault="009103BD" w:rsidP="00325FD5">
      <w:pPr>
        <w:ind w:firstLine="720"/>
        <w:jc w:val="both"/>
        <w:rPr>
          <w:rFonts w:asciiTheme="majorBidi" w:hAnsiTheme="majorBidi" w:cstheme="majorBidi"/>
        </w:rPr>
      </w:pPr>
      <w:r w:rsidRPr="00580634">
        <w:rPr>
          <w:rFonts w:asciiTheme="majorBidi" w:hAnsiTheme="majorBidi" w:cstheme="majorBidi"/>
        </w:rPr>
        <w:t xml:space="preserve">Mies and Shiva think that capitalist patriarchy has created an impression as if women and nature are unproductive – not contributing much to the economy. The rape of women is linked with the rape of the earth and women’s economic vulnerability intensifies their vulnerability to different kinds of violence. They stress the need of moving away from violent economy shaped by capitalism and developing “nonviolent, sustainable, peaceful economies that give respect to women and the Earth” (Mies and Shiva xvii). Traditional patriarchal structures have coupled with capitalist patriarchal structures and this has resulted in an increased vulnerability of females. Socialist ecofeminism sees the position of women in relation to the institutions of power, labour and property and aims at liberating women “through overturning economic and social hierarchies that turn all aspects of </w:t>
      </w:r>
      <w:r w:rsidRPr="00580634">
        <w:rPr>
          <w:rFonts w:asciiTheme="majorBidi" w:hAnsiTheme="majorBidi" w:cstheme="majorBidi"/>
        </w:rPr>
        <w:lastRenderedPageBreak/>
        <w:t xml:space="preserve">life into a market society that today even invades the womb” (Merchant 270). In short, Ecofeminism potentially lays greater emphasis on environmental justice by raising voice against not just gender discrimination but all kinds of oppression. </w:t>
      </w:r>
    </w:p>
    <w:p w14:paraId="02940780" w14:textId="77777777" w:rsidR="0074709E" w:rsidRPr="00580634" w:rsidRDefault="009103BD" w:rsidP="00325FD5">
      <w:pPr>
        <w:jc w:val="both"/>
        <w:rPr>
          <w:rFonts w:asciiTheme="majorBidi" w:hAnsiTheme="majorBidi" w:cstheme="majorBidi"/>
        </w:rPr>
      </w:pPr>
      <w:r w:rsidRPr="00A0792A">
        <w:rPr>
          <w:rFonts w:asciiTheme="majorBidi" w:hAnsiTheme="majorBidi" w:cstheme="majorBidi"/>
          <w:b/>
          <w:bCs/>
        </w:rPr>
        <w:t xml:space="preserve">Intersectionality </w:t>
      </w:r>
    </w:p>
    <w:p w14:paraId="03F07512" w14:textId="77777777" w:rsidR="0074709E" w:rsidRPr="00580634" w:rsidRDefault="009103BD" w:rsidP="00325FD5">
      <w:pPr>
        <w:ind w:firstLine="720"/>
        <w:jc w:val="both"/>
        <w:rPr>
          <w:rFonts w:asciiTheme="majorBidi" w:hAnsiTheme="majorBidi" w:cstheme="majorBidi"/>
        </w:rPr>
      </w:pPr>
      <w:r w:rsidRPr="00580634">
        <w:rPr>
          <w:rFonts w:asciiTheme="majorBidi" w:hAnsiTheme="majorBidi" w:cstheme="majorBidi"/>
        </w:rPr>
        <w:t xml:space="preserve">Intersectionality is a heuristic term that expands feminism beyond the borders of gender by implying that a person’s identity is formed by multiple aspects, only one of which is gender. For instance, a woman of colour living in poverty is likely to face more exploitation and thus is more vulnerable than a white woman living in poor economic circumstances. Kimberlé Williams Crenshaw introduced the metaphor of intersecting groups of inequity in 1989 in her article </w:t>
      </w:r>
      <w:r w:rsidRPr="00580634">
        <w:rPr>
          <w:rFonts w:asciiTheme="majorBidi" w:hAnsiTheme="majorBidi" w:cstheme="majorBidi"/>
          <w:i/>
        </w:rPr>
        <w:t>Demarginalizing the Intersection of Race and Sex</w:t>
      </w:r>
      <w:r w:rsidRPr="00580634">
        <w:rPr>
          <w:rFonts w:asciiTheme="majorBidi" w:hAnsiTheme="majorBidi" w:cstheme="majorBidi"/>
        </w:rPr>
        <w:t xml:space="preserve">. She avers that “because the intersectional experience is greater than the sum of racism and sexism, any analysis that does not take intersectionality into account cannot sufficiently address the particular manner in which Black women are subordinated” (Crenshaw, </w:t>
      </w:r>
      <w:r w:rsidRPr="00580634">
        <w:rPr>
          <w:rFonts w:asciiTheme="majorBidi" w:hAnsiTheme="majorBidi" w:cstheme="majorBidi"/>
          <w:i/>
        </w:rPr>
        <w:t>Demarginalizing</w:t>
      </w:r>
      <w:r w:rsidRPr="00580634">
        <w:rPr>
          <w:rFonts w:asciiTheme="majorBidi" w:hAnsiTheme="majorBidi" w:cstheme="majorBidi"/>
        </w:rPr>
        <w:t xml:space="preserve"> 140). In her 1991 article </w:t>
      </w:r>
      <w:r w:rsidRPr="00580634">
        <w:rPr>
          <w:rFonts w:asciiTheme="majorBidi" w:hAnsiTheme="majorBidi" w:cstheme="majorBidi"/>
          <w:i/>
        </w:rPr>
        <w:t>Mapping the Margins</w:t>
      </w:r>
      <w:r w:rsidRPr="00580634">
        <w:rPr>
          <w:rFonts w:asciiTheme="majorBidi" w:hAnsiTheme="majorBidi" w:cstheme="majorBidi"/>
        </w:rPr>
        <w:t xml:space="preserve"> Crenshaw theorized intersectionality as interlocking systems that characterize females’ lives. Writing in the context of gender and race, she identified that the “problem with identity politics” is that “it frequently</w:t>
      </w:r>
      <w:r w:rsidRPr="00580634">
        <w:rPr>
          <w:rFonts w:asciiTheme="majorBidi" w:hAnsiTheme="majorBidi" w:cstheme="majorBidi"/>
          <w:bCs/>
        </w:rPr>
        <w:t xml:space="preserve"> conflates or ignores intragroup differences”</w:t>
      </w:r>
      <w:r w:rsidRPr="00580634">
        <w:rPr>
          <w:rFonts w:asciiTheme="majorBidi" w:hAnsiTheme="majorBidi" w:cstheme="majorBidi"/>
        </w:rPr>
        <w:t xml:space="preserve"> (Crenshaw, </w:t>
      </w:r>
      <w:r w:rsidRPr="00580634">
        <w:rPr>
          <w:rFonts w:asciiTheme="majorBidi" w:hAnsiTheme="majorBidi" w:cstheme="majorBidi"/>
          <w:i/>
        </w:rPr>
        <w:t>Mapping</w:t>
      </w:r>
      <w:r w:rsidRPr="00580634">
        <w:rPr>
          <w:rFonts w:asciiTheme="majorBidi" w:hAnsiTheme="majorBidi" w:cstheme="majorBidi"/>
        </w:rPr>
        <w:t xml:space="preserve"> 1242). Specifically focusing on the oppression faced by the Black women, she emphasized the need to consider </w:t>
      </w:r>
      <w:r w:rsidRPr="00580634">
        <w:rPr>
          <w:rFonts w:asciiTheme="majorBidi" w:hAnsiTheme="majorBidi" w:cstheme="majorBidi"/>
          <w:bCs/>
        </w:rPr>
        <w:t>intersectional identities</w:t>
      </w:r>
      <w:r w:rsidRPr="00580634">
        <w:rPr>
          <w:rFonts w:asciiTheme="majorBidi" w:hAnsiTheme="majorBidi" w:cstheme="majorBidi"/>
        </w:rPr>
        <w:t xml:space="preserve"> because “</w:t>
      </w:r>
      <w:r w:rsidRPr="00580634">
        <w:rPr>
          <w:rFonts w:asciiTheme="majorBidi" w:hAnsiTheme="majorBidi" w:cstheme="majorBidi"/>
          <w:bCs/>
        </w:rPr>
        <w:t>the violence that many women experience is often shaped by other dimensions of their identities, such as race and class”</w:t>
      </w:r>
      <w:r w:rsidRPr="00580634">
        <w:rPr>
          <w:rFonts w:asciiTheme="majorBidi" w:hAnsiTheme="majorBidi" w:cstheme="majorBidi"/>
        </w:rPr>
        <w:t xml:space="preserve"> and not merely gender (Crenshaw, </w:t>
      </w:r>
      <w:r w:rsidRPr="00580634">
        <w:rPr>
          <w:rFonts w:asciiTheme="majorBidi" w:hAnsiTheme="majorBidi" w:cstheme="majorBidi"/>
          <w:i/>
        </w:rPr>
        <w:t>Mapping</w:t>
      </w:r>
      <w:r w:rsidRPr="00580634">
        <w:rPr>
          <w:rFonts w:asciiTheme="majorBidi" w:hAnsiTheme="majorBidi" w:cstheme="majorBidi"/>
        </w:rPr>
        <w:t xml:space="preserve"> 1242). In fact, “</w:t>
      </w:r>
      <w:r w:rsidRPr="00580634">
        <w:rPr>
          <w:rFonts w:asciiTheme="majorBidi" w:eastAsia="TimesNewRoman" w:hAnsiTheme="majorBidi" w:cstheme="majorBidi"/>
          <w:lang w:eastAsia="en-US"/>
        </w:rPr>
        <w:t xml:space="preserve">intersectionality was a lived reality before it became a word” (Crenshaw, </w:t>
      </w:r>
      <w:r w:rsidRPr="00580634">
        <w:rPr>
          <w:rFonts w:asciiTheme="majorBidi" w:eastAsia="TimesNewRoman" w:hAnsiTheme="majorBidi" w:cstheme="majorBidi"/>
          <w:i/>
          <w:lang w:eastAsia="en-US"/>
        </w:rPr>
        <w:t>Talking</w:t>
      </w:r>
      <w:r w:rsidRPr="00580634">
        <w:rPr>
          <w:rFonts w:asciiTheme="majorBidi" w:eastAsia="TimesNewRoman" w:hAnsiTheme="majorBidi" w:cstheme="majorBidi"/>
          <w:lang w:eastAsia="en-US"/>
        </w:rPr>
        <w:t xml:space="preserve"> 12). </w:t>
      </w:r>
    </w:p>
    <w:p w14:paraId="3AC7F687" w14:textId="77777777" w:rsidR="0074709E" w:rsidRPr="00580634" w:rsidRDefault="009103BD" w:rsidP="00325FD5">
      <w:pPr>
        <w:ind w:firstLine="720"/>
        <w:jc w:val="both"/>
        <w:rPr>
          <w:rFonts w:asciiTheme="majorBidi" w:hAnsiTheme="majorBidi" w:cstheme="majorBidi"/>
          <w:color w:val="000000"/>
        </w:rPr>
      </w:pPr>
      <w:r w:rsidRPr="00580634">
        <w:rPr>
          <w:rFonts w:asciiTheme="majorBidi" w:hAnsiTheme="majorBidi" w:cstheme="majorBidi"/>
          <w:color w:val="000000"/>
        </w:rPr>
        <w:t xml:space="preserve">The meaning of the term widened with the passage of time as Crenshaw herself had expressed the need to apply it other to grounds of identity than just gender and race. Currently, the term ‘intersectionality’ is almost “a synonym for oppression” (Carastathis 305). Now intersectional lens does not only look into different identities of the marginalised but equally concentrates on “how structures of oppression are related” and intersectional; thus studies “perspectives of both privilege and victimhood” (Carbado et al 306). Investigation of intersectional dynamics enables </w:t>
      </w:r>
      <w:r w:rsidRPr="00580634">
        <w:rPr>
          <w:rFonts w:asciiTheme="majorBidi" w:hAnsiTheme="majorBidi" w:cstheme="majorBidi"/>
          <w:color w:val="000000"/>
        </w:rPr>
        <w:lastRenderedPageBreak/>
        <w:t>“</w:t>
      </w:r>
      <w:r w:rsidRPr="00580634">
        <w:rPr>
          <w:rFonts w:asciiTheme="majorBidi" w:eastAsiaTheme="minorHAnsi" w:hAnsiTheme="majorBidi" w:cstheme="majorBidi"/>
          <w:lang w:eastAsia="en-US"/>
        </w:rPr>
        <w:t xml:space="preserve">analyzing the multiple ways that race and gender interact with class in the labor market; interrogating the ways that states constitute regulatory regimes of identity, reproduction, and family formation” (Cho et al 785). </w:t>
      </w:r>
      <w:r w:rsidRPr="00580634">
        <w:rPr>
          <w:rFonts w:asciiTheme="majorBidi" w:hAnsiTheme="majorBidi" w:cstheme="majorBidi"/>
          <w:color w:val="000000"/>
        </w:rPr>
        <w:t xml:space="preserve">It helps to scrutinize “a range of issues, social identities, power dynamics, legal and political systems, and discursive structures” (Carbado et al 304). </w:t>
      </w:r>
      <w:r w:rsidRPr="00580634">
        <w:rPr>
          <w:rFonts w:asciiTheme="majorBidi" w:eastAsiaTheme="minorHAnsi" w:hAnsiTheme="majorBidi" w:cstheme="majorBidi"/>
          <w:lang w:eastAsia="en-US"/>
        </w:rPr>
        <w:t xml:space="preserve">Guerrero’s essay “exposes the contradiction between discourses of private ownership as linked to progress and development and the use of land-allocation policies to disenfranchise native peoples and sever them from their land” (Alexander and Mohanty xxxiii). </w:t>
      </w:r>
      <w:r w:rsidRPr="00580634">
        <w:rPr>
          <w:rFonts w:asciiTheme="majorBidi" w:hAnsiTheme="majorBidi" w:cstheme="majorBidi"/>
        </w:rPr>
        <w:t>“Any feminism that does not address land rights, sovereignty, and the state’s systemic erasure of the cultural practices of native peoples,” states Guerrero, “is limited in vision and exclusionary in practice” (Guerrero 101).</w:t>
      </w:r>
    </w:p>
    <w:p w14:paraId="2449725A" w14:textId="77777777" w:rsidR="0074709E" w:rsidRPr="00580634" w:rsidRDefault="009103BD" w:rsidP="00325FD5">
      <w:pPr>
        <w:ind w:firstLine="720"/>
        <w:jc w:val="both"/>
        <w:rPr>
          <w:rFonts w:asciiTheme="majorBidi" w:hAnsiTheme="majorBidi" w:cstheme="majorBidi"/>
          <w:b/>
        </w:rPr>
      </w:pPr>
      <w:r w:rsidRPr="00580634">
        <w:rPr>
          <w:rFonts w:asciiTheme="majorBidi" w:eastAsiaTheme="minorHAnsi" w:hAnsiTheme="majorBidi" w:cstheme="majorBidi"/>
          <w:lang w:eastAsia="en-US"/>
        </w:rPr>
        <w:t xml:space="preserve">Given these points, intersectionality has been hailed so much that </w:t>
      </w:r>
      <w:r w:rsidRPr="00580634">
        <w:rPr>
          <w:rFonts w:asciiTheme="majorBidi" w:hAnsiTheme="majorBidi" w:cstheme="majorBidi"/>
        </w:rPr>
        <w:t>McCall recognizes it as “the most important contribution that women’s studies has made so far” (1771).</w:t>
      </w:r>
      <w:r w:rsidRPr="00580634">
        <w:rPr>
          <w:rFonts w:asciiTheme="majorBidi" w:eastAsiaTheme="minorHAnsi" w:hAnsiTheme="majorBidi" w:cstheme="majorBidi"/>
          <w:lang w:eastAsia="en-US"/>
        </w:rPr>
        <w:t xml:space="preserve"> “The concept has traveled into various disciplines, empirical sites, and ideological terrains” (Carastathis 311).</w:t>
      </w:r>
      <w:r w:rsidRPr="00580634">
        <w:rPr>
          <w:rFonts w:asciiTheme="majorBidi" w:hAnsiTheme="majorBidi" w:cstheme="majorBidi"/>
          <w:color w:val="000000"/>
        </w:rPr>
        <w:t xml:space="preserve"> Intersectional lens has transcended national boundaries and is now used to study structures of exploitation and oppression in different societies. It has also helped building interdisciplinary bridges; for instance, the present research analyses the relation between gender and climate vulnerabilities through intersectional lens. Carbado et al describe intersectionality as “a method and a disposition, a heuristic and analytic tool” that is not a contained entity but a work-in-progress (303).</w:t>
      </w:r>
    </w:p>
    <w:p w14:paraId="30B49EAB" w14:textId="77777777" w:rsidR="0074709E" w:rsidRPr="00580634" w:rsidRDefault="009103BD" w:rsidP="00325FD5">
      <w:pPr>
        <w:jc w:val="both"/>
        <w:rPr>
          <w:rFonts w:asciiTheme="majorBidi" w:hAnsiTheme="majorBidi" w:cstheme="majorBidi"/>
        </w:rPr>
      </w:pPr>
      <w:r w:rsidRPr="00580634">
        <w:rPr>
          <w:rFonts w:asciiTheme="majorBidi" w:hAnsiTheme="majorBidi" w:cstheme="majorBidi"/>
          <w:b/>
        </w:rPr>
        <w:t xml:space="preserve">Theoretical Framework and Research Methodology </w:t>
      </w:r>
    </w:p>
    <w:p w14:paraId="1C37D3E6" w14:textId="77777777" w:rsidR="0074709E" w:rsidRPr="00580634" w:rsidRDefault="009103BD" w:rsidP="00325FD5">
      <w:pPr>
        <w:ind w:firstLine="720"/>
        <w:jc w:val="both"/>
        <w:rPr>
          <w:rFonts w:asciiTheme="majorBidi" w:hAnsiTheme="majorBidi" w:cstheme="majorBidi"/>
        </w:rPr>
      </w:pPr>
      <w:r w:rsidRPr="00580634">
        <w:rPr>
          <w:rFonts w:asciiTheme="majorBidi" w:hAnsiTheme="majorBidi" w:cstheme="majorBidi"/>
        </w:rPr>
        <w:t xml:space="preserve">The theoretical framework for conducting this research has been built on the tenets from Rob Nixon’s </w:t>
      </w:r>
      <w:r w:rsidRPr="00580634">
        <w:rPr>
          <w:rFonts w:asciiTheme="majorBidi" w:hAnsiTheme="majorBidi" w:cstheme="majorBidi"/>
          <w:i/>
        </w:rPr>
        <w:t>SV</w:t>
      </w:r>
      <w:r w:rsidRPr="00580634">
        <w:rPr>
          <w:rFonts w:asciiTheme="majorBidi" w:hAnsiTheme="majorBidi" w:cstheme="majorBidi"/>
        </w:rPr>
        <w:t xml:space="preserve">. Theory of slow violence is intrinsically connected with the environmentalism of the poor – as poor is “a compendious category subject to almost infinite local variation” (Nixon, </w:t>
      </w:r>
      <w:r w:rsidRPr="00580634">
        <w:rPr>
          <w:rFonts w:asciiTheme="majorBidi" w:hAnsiTheme="majorBidi" w:cstheme="majorBidi"/>
          <w:i/>
        </w:rPr>
        <w:t>SV</w:t>
      </w:r>
      <w:r w:rsidRPr="00580634">
        <w:rPr>
          <w:rFonts w:asciiTheme="majorBidi" w:hAnsiTheme="majorBidi" w:cstheme="majorBidi"/>
        </w:rPr>
        <w:t xml:space="preserve"> 4). The word poor is used for those people who are victims of marginalization not only on economic but also on racial, ethnic, religious, or other grounds. Nixon borrows the term ‘disposable people’ introduced by Kevin Bale in his book </w:t>
      </w:r>
      <w:r w:rsidRPr="00580634">
        <w:rPr>
          <w:rFonts w:asciiTheme="majorBidi" w:hAnsiTheme="majorBidi" w:cstheme="majorBidi"/>
          <w:i/>
        </w:rPr>
        <w:t>Disposable People</w:t>
      </w:r>
      <w:r w:rsidRPr="00580634">
        <w:rPr>
          <w:rFonts w:asciiTheme="majorBidi" w:hAnsiTheme="majorBidi" w:cstheme="majorBidi"/>
        </w:rPr>
        <w:t xml:space="preserve"> for poor, marginalised people who are used as disposable objects in a neoliberal/neo-colonial society. Since intersectionality is a work-in-progress heuristic tool, this article applies this </w:t>
      </w:r>
      <w:r w:rsidRPr="00580634">
        <w:rPr>
          <w:rFonts w:asciiTheme="majorBidi" w:hAnsiTheme="majorBidi" w:cstheme="majorBidi"/>
        </w:rPr>
        <w:lastRenderedPageBreak/>
        <w:t xml:space="preserve">notion to study environmentalism in relation with gender by applying Nixon’s theory of slow violence which perceives human and ecological disposability as intersecting problems that plague the society. The theory of slow violence gives voice to gender rights, minority rights, property rights, social security rights, tribal rights and thus it opens up “connective avenues between environmental justice and other rights discourses” (Nixon, </w:t>
      </w:r>
      <w:r w:rsidRPr="00580634">
        <w:rPr>
          <w:rFonts w:asciiTheme="majorBidi" w:hAnsiTheme="majorBidi" w:cstheme="majorBidi"/>
          <w:i/>
        </w:rPr>
        <w:t>SV</w:t>
      </w:r>
      <w:r w:rsidRPr="00580634">
        <w:rPr>
          <w:rFonts w:asciiTheme="majorBidi" w:hAnsiTheme="majorBidi" w:cstheme="majorBidi"/>
        </w:rPr>
        <w:t xml:space="preserve"> 23).</w:t>
      </w:r>
    </w:p>
    <w:p w14:paraId="24C8E6DD" w14:textId="77777777" w:rsidR="0074709E" w:rsidRPr="00580634" w:rsidRDefault="009103BD" w:rsidP="00325FD5">
      <w:pPr>
        <w:ind w:firstLine="720"/>
        <w:jc w:val="both"/>
        <w:rPr>
          <w:rFonts w:asciiTheme="majorBidi" w:hAnsiTheme="majorBidi" w:cstheme="majorBidi"/>
        </w:rPr>
      </w:pPr>
      <w:r w:rsidRPr="00580634">
        <w:rPr>
          <w:rFonts w:asciiTheme="majorBidi" w:hAnsiTheme="majorBidi" w:cstheme="majorBidi"/>
        </w:rPr>
        <w:t xml:space="preserve">According to the theory of slow violence there is a direct link between environmental rights and women rights as women have to bear the brunt of displacement and dispossession even more directly than their men folk. More specifically, rural women have been greater sufferers of the storm of dispossession. The research analytically studies how sustenance becomes more and more difficult for Maryam and her family in </w:t>
      </w:r>
      <w:r w:rsidRPr="00580634">
        <w:rPr>
          <w:rFonts w:asciiTheme="majorBidi" w:hAnsiTheme="majorBidi" w:cstheme="majorBidi"/>
          <w:i/>
        </w:rPr>
        <w:t>TTS</w:t>
      </w:r>
      <w:r w:rsidRPr="00580634">
        <w:rPr>
          <w:rFonts w:asciiTheme="majorBidi" w:hAnsiTheme="majorBidi" w:cstheme="majorBidi"/>
        </w:rPr>
        <w:t xml:space="preserve"> exemplifying that “the links between attritional environmental violence, poverty, and malnutrition was a logic” she lived while confronting climate vulnerabilities (Nixon, </w:t>
      </w:r>
      <w:r w:rsidRPr="00580634">
        <w:rPr>
          <w:rFonts w:asciiTheme="majorBidi" w:hAnsiTheme="majorBidi" w:cstheme="majorBidi"/>
          <w:i/>
        </w:rPr>
        <w:t>SV</w:t>
      </w:r>
      <w:r w:rsidRPr="00580634">
        <w:rPr>
          <w:rFonts w:asciiTheme="majorBidi" w:hAnsiTheme="majorBidi" w:cstheme="majorBidi"/>
        </w:rPr>
        <w:t xml:space="preserve"> 140).</w:t>
      </w:r>
      <w:r w:rsidRPr="00580634">
        <w:rPr>
          <w:rFonts w:asciiTheme="majorBidi" w:hAnsiTheme="majorBidi" w:cstheme="majorBidi"/>
          <w:color w:val="E36C0A" w:themeColor="accent6" w:themeShade="BF"/>
        </w:rPr>
        <w:t xml:space="preserve"> </w:t>
      </w:r>
      <w:r w:rsidRPr="00580634">
        <w:rPr>
          <w:rFonts w:asciiTheme="majorBidi" w:hAnsiTheme="majorBidi" w:cstheme="majorBidi"/>
        </w:rPr>
        <w:t xml:space="preserve">By applying the theory of slow violence, this article abridges the gap between gender, intersectionality and climate vulnerabilities by theorizing that human and ecological disposability are inseparable when it comes to the environmentalism of the poor. </w:t>
      </w:r>
      <w:r w:rsidRPr="00580634">
        <w:rPr>
          <w:rFonts w:asciiTheme="majorBidi" w:hAnsiTheme="majorBidi" w:cstheme="majorBidi"/>
          <w:lang w:bidi="ur-PK"/>
        </w:rPr>
        <w:t xml:space="preserve">This research is qualitative in design. As research methods “involve the forms of data collection, analysis and interpretation,” the method used for selecting the primary source for this research is purposive sampling (Creswell and Creswell 335). Textual analysis of </w:t>
      </w:r>
      <w:r w:rsidRPr="00580634">
        <w:rPr>
          <w:rFonts w:asciiTheme="majorBidi" w:hAnsiTheme="majorBidi" w:cstheme="majorBidi"/>
          <w:i/>
          <w:lang w:bidi="ur-PK"/>
        </w:rPr>
        <w:t>TTS</w:t>
      </w:r>
      <w:r w:rsidRPr="00580634">
        <w:rPr>
          <w:rFonts w:asciiTheme="majorBidi" w:hAnsiTheme="majorBidi" w:cstheme="majorBidi"/>
          <w:lang w:bidi="ur-PK"/>
        </w:rPr>
        <w:t xml:space="preserve"> by Uzma Aslam Khan is conducted by applying the tenets of Nixon’s theory of slow violence</w:t>
      </w:r>
      <w:r w:rsidRPr="00580634">
        <w:rPr>
          <w:rFonts w:asciiTheme="majorBidi" w:hAnsiTheme="majorBidi" w:cstheme="majorBidi"/>
          <w:color w:val="E36C0A" w:themeColor="accent6" w:themeShade="BF"/>
          <w:lang w:bidi="ur-PK"/>
        </w:rPr>
        <w:t>.</w:t>
      </w:r>
    </w:p>
    <w:p w14:paraId="4A4D6AA0" w14:textId="77777777" w:rsidR="0074709E" w:rsidRPr="00580634" w:rsidRDefault="0074709E" w:rsidP="00325FD5">
      <w:pPr>
        <w:jc w:val="both"/>
        <w:rPr>
          <w:rFonts w:asciiTheme="majorBidi" w:hAnsiTheme="majorBidi" w:cstheme="majorBidi"/>
          <w:b/>
        </w:rPr>
      </w:pPr>
    </w:p>
    <w:p w14:paraId="17005AC3" w14:textId="77777777" w:rsidR="0074709E" w:rsidRPr="00580634" w:rsidRDefault="009103BD" w:rsidP="004E595F">
      <w:pPr>
        <w:jc w:val="both"/>
        <w:rPr>
          <w:rFonts w:asciiTheme="majorBidi" w:hAnsiTheme="majorBidi" w:cstheme="majorBidi"/>
        </w:rPr>
      </w:pPr>
      <w:r w:rsidRPr="00580634">
        <w:rPr>
          <w:rFonts w:asciiTheme="majorBidi" w:hAnsiTheme="majorBidi" w:cstheme="majorBidi"/>
          <w:b/>
        </w:rPr>
        <w:t xml:space="preserve">Textual Analysis of </w:t>
      </w:r>
      <w:r w:rsidRPr="00580634">
        <w:rPr>
          <w:rFonts w:asciiTheme="majorBidi" w:hAnsiTheme="majorBidi" w:cstheme="majorBidi"/>
          <w:b/>
          <w:i/>
        </w:rPr>
        <w:t>Thinner than Skin</w:t>
      </w:r>
    </w:p>
    <w:p w14:paraId="03A6AE21" w14:textId="77777777" w:rsidR="0074709E" w:rsidRPr="00580634" w:rsidRDefault="009103BD" w:rsidP="004E595F">
      <w:pPr>
        <w:jc w:val="both"/>
        <w:rPr>
          <w:rFonts w:asciiTheme="majorBidi" w:hAnsiTheme="majorBidi" w:cstheme="majorBidi"/>
        </w:rPr>
      </w:pPr>
      <w:r w:rsidRPr="00580634">
        <w:rPr>
          <w:rFonts w:asciiTheme="majorBidi" w:hAnsiTheme="majorBidi" w:cstheme="majorBidi"/>
        </w:rPr>
        <w:t xml:space="preserve">An Overview of </w:t>
      </w:r>
      <w:r w:rsidRPr="00580634">
        <w:rPr>
          <w:rFonts w:asciiTheme="majorBidi" w:hAnsiTheme="majorBidi" w:cstheme="majorBidi"/>
          <w:i/>
        </w:rPr>
        <w:t>TTS</w:t>
      </w:r>
      <w:r w:rsidRPr="00580634">
        <w:rPr>
          <w:rFonts w:asciiTheme="majorBidi" w:hAnsiTheme="majorBidi" w:cstheme="majorBidi"/>
        </w:rPr>
        <w:t xml:space="preserve"> </w:t>
      </w:r>
    </w:p>
    <w:p w14:paraId="2C72DFD0" w14:textId="77777777" w:rsidR="0074709E" w:rsidRPr="00580634" w:rsidRDefault="009103BD" w:rsidP="00325FD5">
      <w:pPr>
        <w:jc w:val="both"/>
        <w:rPr>
          <w:rFonts w:asciiTheme="majorBidi" w:hAnsiTheme="majorBidi" w:cstheme="majorBidi"/>
        </w:rPr>
      </w:pPr>
      <w:r w:rsidRPr="00580634">
        <w:rPr>
          <w:rFonts w:asciiTheme="majorBidi" w:hAnsiTheme="majorBidi" w:cstheme="majorBidi"/>
        </w:rPr>
        <w:tab/>
      </w:r>
      <w:r w:rsidRPr="00580634">
        <w:rPr>
          <w:rFonts w:asciiTheme="majorBidi" w:hAnsiTheme="majorBidi" w:cstheme="majorBidi"/>
          <w:i/>
        </w:rPr>
        <w:t xml:space="preserve">TTS </w:t>
      </w:r>
      <w:r w:rsidRPr="00580634">
        <w:rPr>
          <w:rFonts w:asciiTheme="majorBidi" w:hAnsiTheme="majorBidi" w:cstheme="majorBidi"/>
        </w:rPr>
        <w:t xml:space="preserve">is the fourth major novel written by Khan – a Pakistani writer now settled in America. Published in the year 2012, the novel has been written in the backdrop of 9/11 attacks. The immediate setting of the novel is areas in the North of Pakistan which are rich in natural beauty. There are three main threads in the novel. The first thread is a tale of love and its challenges centered on the characters of Nadir and Farhana. Nadir, a photographer by profession, is a Pakistani diaspora settled in America. Farhana, a glaciologist by profession, is of Pakistani-German origin settled in </w:t>
      </w:r>
      <w:r w:rsidRPr="00580634">
        <w:rPr>
          <w:rFonts w:asciiTheme="majorBidi" w:hAnsiTheme="majorBidi" w:cstheme="majorBidi"/>
        </w:rPr>
        <w:lastRenderedPageBreak/>
        <w:t xml:space="preserve">America. This couple visits Pakistan for the sake of revisiting their ancestral homeland, for finding a chance of getting closer to one another, and last but not the least to get things added up to their curriculum vitae. They see the lakes, glaciers, lofty mountains, and the nomadic life there; while Farhana studies glaciers along her colleague Wes, Nadir photographs the lush landscape. </w:t>
      </w:r>
    </w:p>
    <w:p w14:paraId="4E00EE67" w14:textId="77777777" w:rsidR="0074709E" w:rsidRPr="00580634" w:rsidRDefault="009103BD" w:rsidP="00325FD5">
      <w:pPr>
        <w:ind w:firstLine="720"/>
        <w:jc w:val="both"/>
        <w:rPr>
          <w:rFonts w:asciiTheme="majorBidi" w:hAnsiTheme="majorBidi" w:cstheme="majorBidi"/>
        </w:rPr>
      </w:pPr>
      <w:r w:rsidRPr="00580634">
        <w:rPr>
          <w:rFonts w:asciiTheme="majorBidi" w:hAnsiTheme="majorBidi" w:cstheme="majorBidi"/>
        </w:rPr>
        <w:t>The second thread of the novel centres around Maryam with her husband Suleiman and three children Younis, Kiran and Jumanah. Theirs is a family of nomads who migrate on seasonal basis from the highlands to the lowlands. In the wake of environmental and human exploitation, maintaining normal existence has become quite challenging for this family as for many other people in the community. These natives face tough circumstances as the officials violate the sanctity of their private lives and their environment. Their survival has become even more difficult in the face of rising terrorism after 9/11</w:t>
      </w:r>
      <w:r w:rsidRPr="00580634">
        <w:rPr>
          <w:rFonts w:asciiTheme="majorBidi" w:hAnsiTheme="majorBidi" w:cstheme="majorBidi"/>
          <w:color w:val="C0504D" w:themeColor="accent2"/>
        </w:rPr>
        <w:t xml:space="preserve">. </w:t>
      </w:r>
      <w:r w:rsidRPr="00580634">
        <w:rPr>
          <w:rFonts w:asciiTheme="majorBidi" w:hAnsiTheme="majorBidi" w:cstheme="majorBidi"/>
        </w:rPr>
        <w:t xml:space="preserve">The third thread in the novel is an outcast who is almost always on the move, named Ghafoor. He is a childhood acquaintance of Maryam and a relative of Suleiman. Because of his being vocal against mafias in the area, he had been compelled to leave the area; since then he is mostly on the move trading things to and from different countries like China, Kazakhstan, Uzbekistan etc.       </w:t>
      </w:r>
    </w:p>
    <w:p w14:paraId="14C6B5F8" w14:textId="77777777" w:rsidR="0074709E" w:rsidRPr="00580634" w:rsidRDefault="009103BD" w:rsidP="00325FD5">
      <w:pPr>
        <w:ind w:firstLine="720"/>
        <w:jc w:val="both"/>
        <w:rPr>
          <w:rFonts w:asciiTheme="majorBidi" w:hAnsiTheme="majorBidi" w:cstheme="majorBidi"/>
        </w:rPr>
      </w:pPr>
      <w:r w:rsidRPr="00580634">
        <w:rPr>
          <w:rFonts w:asciiTheme="majorBidi" w:hAnsiTheme="majorBidi" w:cstheme="majorBidi"/>
        </w:rPr>
        <w:t xml:space="preserve">The three threads intersect when Farhana takes Kiran on boat to the Lake Saiful Maluk. The trip takes a poignant turn as Kiran submissively agrees to board on the boat rowed by the two tourists from America. She drowns and is dead during boating on the chill waters of the lake. Love dims down further in the hearts of Nadir and Farhana as guilt dominates in their minds, each blaming the other for the sad demise. Ghafoor tries to avenge Nadir for the murder of Kiran but is generous enough to forgive him at the last moment. The novel ends as we see Maryam trying to cope with life along with her two surviving children, while her husband has died in a suicidal attack. </w:t>
      </w:r>
    </w:p>
    <w:p w14:paraId="263FA8B0" w14:textId="77777777" w:rsidR="0074709E" w:rsidRPr="00580634" w:rsidRDefault="009103BD" w:rsidP="00325FD5">
      <w:pPr>
        <w:ind w:firstLine="720"/>
        <w:jc w:val="both"/>
        <w:rPr>
          <w:rFonts w:asciiTheme="majorBidi" w:hAnsiTheme="majorBidi" w:cstheme="majorBidi"/>
        </w:rPr>
      </w:pPr>
      <w:r w:rsidRPr="00580634">
        <w:rPr>
          <w:rFonts w:asciiTheme="majorBidi" w:hAnsiTheme="majorBidi" w:cstheme="majorBidi"/>
        </w:rPr>
        <w:t xml:space="preserve">This article is specifically focusing on the female protagonist of the novel, Maryam, who faces marginalization and exploitation due to her intersectional identities on the basis of gender, ethnicity, religion and class. Thus intersectionality as a methodological paradigm is applied in two ways in </w:t>
      </w:r>
      <w:r w:rsidRPr="00580634">
        <w:rPr>
          <w:rFonts w:asciiTheme="majorBidi" w:hAnsiTheme="majorBidi" w:cstheme="majorBidi"/>
        </w:rPr>
        <w:lastRenderedPageBreak/>
        <w:t>this research article: firstly, to observe categorizations that help formulate “rationalized social hierarchy;” and secondly, to study intersectional “institutional and societal structures” which render the poor to climate vulnerabilities (</w:t>
      </w:r>
      <w:r w:rsidRPr="00580634">
        <w:rPr>
          <w:rFonts w:asciiTheme="majorBidi" w:eastAsia="TimesNewRoman" w:hAnsiTheme="majorBidi" w:cstheme="majorBidi"/>
          <w:lang w:eastAsia="en-US"/>
        </w:rPr>
        <w:t xml:space="preserve">Crenshaw, </w:t>
      </w:r>
      <w:r w:rsidRPr="00580634">
        <w:rPr>
          <w:rFonts w:asciiTheme="majorBidi" w:eastAsia="TimesNewRoman" w:hAnsiTheme="majorBidi" w:cstheme="majorBidi"/>
          <w:i/>
          <w:lang w:eastAsia="en-US"/>
        </w:rPr>
        <w:t>Talking</w:t>
      </w:r>
      <w:r w:rsidRPr="00580634">
        <w:rPr>
          <w:rFonts w:asciiTheme="majorBidi" w:eastAsia="TimesNewRoman" w:hAnsiTheme="majorBidi" w:cstheme="majorBidi"/>
          <w:lang w:eastAsia="en-US"/>
        </w:rPr>
        <w:t xml:space="preserve"> 13-4</w:t>
      </w:r>
      <w:r w:rsidRPr="00580634">
        <w:rPr>
          <w:rFonts w:asciiTheme="majorBidi" w:hAnsiTheme="majorBidi" w:cstheme="majorBidi"/>
        </w:rPr>
        <w:t xml:space="preserve">).  </w:t>
      </w:r>
    </w:p>
    <w:p w14:paraId="73372740" w14:textId="77777777" w:rsidR="0074709E" w:rsidRPr="00A678F1" w:rsidRDefault="009103BD" w:rsidP="00325FD5">
      <w:pPr>
        <w:autoSpaceDE w:val="0"/>
        <w:autoSpaceDN w:val="0"/>
        <w:adjustRightInd w:val="0"/>
        <w:jc w:val="both"/>
        <w:rPr>
          <w:rFonts w:asciiTheme="majorBidi" w:hAnsiTheme="majorBidi" w:cstheme="majorBidi"/>
          <w:b/>
          <w:bCs/>
        </w:rPr>
      </w:pPr>
      <w:r w:rsidRPr="00A678F1">
        <w:rPr>
          <w:rFonts w:asciiTheme="majorBidi" w:hAnsiTheme="majorBidi" w:cstheme="majorBidi"/>
          <w:b/>
          <w:bCs/>
        </w:rPr>
        <w:t xml:space="preserve">Gender, Intersectional Identities and Human Disposability  </w:t>
      </w:r>
    </w:p>
    <w:p w14:paraId="25E9AEC0" w14:textId="77777777" w:rsidR="0074709E" w:rsidRPr="00580634" w:rsidRDefault="009103BD" w:rsidP="00325FD5">
      <w:pPr>
        <w:autoSpaceDE w:val="0"/>
        <w:autoSpaceDN w:val="0"/>
        <w:adjustRightInd w:val="0"/>
        <w:ind w:firstLine="720"/>
        <w:jc w:val="both"/>
        <w:rPr>
          <w:rFonts w:asciiTheme="majorBidi" w:eastAsiaTheme="minorHAnsi" w:hAnsiTheme="majorBidi" w:cstheme="majorBidi"/>
          <w:lang w:eastAsia="en-US"/>
        </w:rPr>
      </w:pPr>
      <w:r w:rsidRPr="00580634">
        <w:rPr>
          <w:rFonts w:asciiTheme="majorBidi" w:hAnsiTheme="majorBidi" w:cstheme="majorBidi"/>
        </w:rPr>
        <w:t xml:space="preserve">Ynestra writes that “women are the ‘others’ in human society” and their “challenge of </w:t>
      </w:r>
      <w:r w:rsidRPr="00580634">
        <w:rPr>
          <w:rFonts w:asciiTheme="majorBidi" w:eastAsiaTheme="minorHAnsi" w:hAnsiTheme="majorBidi" w:cstheme="majorBidi"/>
          <w:lang w:eastAsia="en-US"/>
        </w:rPr>
        <w:t>social domination extends beyond sex to social domination of all kinds (</w:t>
      </w:r>
      <w:r w:rsidRPr="00580634">
        <w:rPr>
          <w:rFonts w:asciiTheme="majorBidi" w:hAnsiTheme="majorBidi" w:cstheme="majorBidi"/>
        </w:rPr>
        <w:t>Ynestra 330</w:t>
      </w:r>
      <w:r w:rsidRPr="00580634">
        <w:rPr>
          <w:rFonts w:asciiTheme="majorBidi" w:eastAsiaTheme="minorHAnsi" w:hAnsiTheme="majorBidi" w:cstheme="majorBidi"/>
          <w:lang w:eastAsia="en-US"/>
        </w:rPr>
        <w:t xml:space="preserve">). </w:t>
      </w:r>
      <w:r w:rsidRPr="00580634">
        <w:rPr>
          <w:rFonts w:asciiTheme="majorBidi" w:hAnsiTheme="majorBidi" w:cstheme="majorBidi"/>
        </w:rPr>
        <w:t xml:space="preserve">One of the central characters of </w:t>
      </w:r>
      <w:r w:rsidRPr="00580634">
        <w:rPr>
          <w:rFonts w:asciiTheme="majorBidi" w:hAnsiTheme="majorBidi" w:cstheme="majorBidi"/>
          <w:i/>
        </w:rPr>
        <w:t>TTS</w:t>
      </w:r>
      <w:r w:rsidRPr="00580634">
        <w:rPr>
          <w:rFonts w:asciiTheme="majorBidi" w:hAnsiTheme="majorBidi" w:cstheme="majorBidi"/>
        </w:rPr>
        <w:t xml:space="preserve"> is Maryam, a female who carries the burden of poverty, ethnic minority, and marginalization on the basis of religion as well as gender. The fact that she is treated as a disposable being is brought to the forefront by Khan by presenting her as almost identity-less. Maryam is a nameless entity for the foreign tourists, Nadir and Farhana, who snatch her daughter away. Even for the police department of her own state, she is an identity-less creature whose cattle can be snatched away simply because she is not able to show up any identity card (Khan, </w:t>
      </w:r>
      <w:r w:rsidRPr="00580634">
        <w:rPr>
          <w:rFonts w:asciiTheme="majorBidi" w:hAnsiTheme="majorBidi" w:cstheme="majorBidi"/>
          <w:i/>
        </w:rPr>
        <w:t>TTS</w:t>
      </w:r>
      <w:r w:rsidRPr="00580634">
        <w:rPr>
          <w:rFonts w:asciiTheme="majorBidi" w:hAnsiTheme="majorBidi" w:cstheme="majorBidi"/>
        </w:rPr>
        <w:t xml:space="preserve"> 349). Maryam comes under the category of ‘poor’ that is termed by Nixon as ‘compendious’. She is poor as she belongs to the ethnic minority of Steppe nomads; she is poor because of her economic condition as with each passing day she finds difficult to get ample food to sustain her family and herself.</w:t>
      </w:r>
    </w:p>
    <w:p w14:paraId="10E1AFD4" w14:textId="77777777" w:rsidR="0074709E" w:rsidRPr="00A678F1" w:rsidRDefault="009103BD" w:rsidP="00325FD5">
      <w:pPr>
        <w:autoSpaceDE w:val="0"/>
        <w:autoSpaceDN w:val="0"/>
        <w:adjustRightInd w:val="0"/>
        <w:jc w:val="both"/>
        <w:rPr>
          <w:rFonts w:asciiTheme="majorBidi" w:hAnsiTheme="majorBidi" w:cstheme="majorBidi"/>
          <w:b/>
          <w:bCs/>
          <w:i/>
        </w:rPr>
      </w:pPr>
      <w:r w:rsidRPr="00A678F1">
        <w:rPr>
          <w:rFonts w:asciiTheme="majorBidi" w:hAnsiTheme="majorBidi" w:cstheme="majorBidi"/>
          <w:b/>
          <w:bCs/>
          <w:i/>
        </w:rPr>
        <w:t xml:space="preserve">Categorization on Ethnic Grounds </w:t>
      </w:r>
    </w:p>
    <w:p w14:paraId="3D2314B5" w14:textId="77777777" w:rsidR="0074709E" w:rsidRPr="00580634" w:rsidRDefault="009103BD" w:rsidP="00325FD5">
      <w:pPr>
        <w:autoSpaceDE w:val="0"/>
        <w:autoSpaceDN w:val="0"/>
        <w:adjustRightInd w:val="0"/>
        <w:ind w:firstLine="720"/>
        <w:jc w:val="both"/>
        <w:rPr>
          <w:rFonts w:asciiTheme="majorBidi" w:hAnsiTheme="majorBidi" w:cstheme="majorBidi"/>
        </w:rPr>
      </w:pPr>
      <w:r w:rsidRPr="00580634">
        <w:rPr>
          <w:rFonts w:asciiTheme="majorBidi" w:hAnsiTheme="majorBidi" w:cstheme="majorBidi"/>
        </w:rPr>
        <w:t xml:space="preserve">Maryam’s life history contains “tales of injustice” that span the lives of poor women facing marginalization on the basis of different categories (Khan, </w:t>
      </w:r>
      <w:r w:rsidRPr="00580634">
        <w:rPr>
          <w:rFonts w:asciiTheme="majorBidi" w:hAnsiTheme="majorBidi" w:cstheme="majorBidi"/>
          <w:i/>
        </w:rPr>
        <w:t>TTS</w:t>
      </w:r>
      <w:r w:rsidRPr="00580634">
        <w:rPr>
          <w:rFonts w:asciiTheme="majorBidi" w:hAnsiTheme="majorBidi" w:cstheme="majorBidi"/>
        </w:rPr>
        <w:t xml:space="preserve"> 146). Nixon’s theory of slow violence investigates “comparative questions of injustice in the human domain” (Nixon, </w:t>
      </w:r>
      <w:r w:rsidRPr="00580634">
        <w:rPr>
          <w:rFonts w:asciiTheme="majorBidi" w:hAnsiTheme="majorBidi" w:cstheme="majorBidi"/>
          <w:i/>
        </w:rPr>
        <w:t>Anthropocene</w:t>
      </w:r>
      <w:r w:rsidRPr="00580634">
        <w:rPr>
          <w:rFonts w:asciiTheme="majorBidi" w:hAnsiTheme="majorBidi" w:cstheme="majorBidi"/>
        </w:rPr>
        <w:t xml:space="preserve"> 3). In </w:t>
      </w:r>
      <w:r w:rsidRPr="00580634">
        <w:rPr>
          <w:rFonts w:asciiTheme="majorBidi" w:hAnsiTheme="majorBidi" w:cstheme="majorBidi"/>
          <w:i/>
        </w:rPr>
        <w:t>TTS</w:t>
      </w:r>
      <w:r w:rsidRPr="00580634">
        <w:rPr>
          <w:rFonts w:asciiTheme="majorBidi" w:hAnsiTheme="majorBidi" w:cstheme="majorBidi"/>
        </w:rPr>
        <w:t xml:space="preserve"> Khan brings to the forefront these questions of injustice by centring her novel on a Gujjar family of steppe nomads. Talking about nomads, Khan in her interview opines that Pakistan is a society where “plurality is sort of being denied” (Khan, </w:t>
      </w:r>
      <w:r w:rsidRPr="00580634">
        <w:rPr>
          <w:rFonts w:asciiTheme="majorBidi" w:hAnsiTheme="majorBidi" w:cstheme="majorBidi"/>
          <w:i/>
        </w:rPr>
        <w:t>Seconde</w:t>
      </w:r>
      <w:r w:rsidRPr="00580634">
        <w:rPr>
          <w:rFonts w:asciiTheme="majorBidi" w:hAnsiTheme="majorBidi" w:cstheme="majorBidi"/>
        </w:rPr>
        <w:t xml:space="preserve">). Maryam is from “the semi-nomadic tribes who made their summer homes on the lake’s shores” and moved to the lowlands in winter (Khan, </w:t>
      </w:r>
      <w:r w:rsidRPr="00580634">
        <w:rPr>
          <w:rFonts w:asciiTheme="majorBidi" w:hAnsiTheme="majorBidi" w:cstheme="majorBidi"/>
          <w:i/>
        </w:rPr>
        <w:t>TTS</w:t>
      </w:r>
      <w:r w:rsidRPr="00580634">
        <w:rPr>
          <w:rFonts w:asciiTheme="majorBidi" w:hAnsiTheme="majorBidi" w:cstheme="majorBidi"/>
        </w:rPr>
        <w:t xml:space="preserve"> 68). These nomads, entitled as Gujjars are “believed to have ridden down from the Capsian steppe thousands of years ago” (Khan, </w:t>
      </w:r>
      <w:r w:rsidRPr="00580634">
        <w:rPr>
          <w:rFonts w:asciiTheme="majorBidi" w:hAnsiTheme="majorBidi" w:cstheme="majorBidi"/>
          <w:i/>
        </w:rPr>
        <w:t>TTS</w:t>
      </w:r>
      <w:r w:rsidRPr="00580634">
        <w:rPr>
          <w:rFonts w:asciiTheme="majorBidi" w:hAnsiTheme="majorBidi" w:cstheme="majorBidi"/>
        </w:rPr>
        <w:t xml:space="preserve"> 21). Since they “do not adhere to state-defined borders they are seen as ‘outsiders’ by the government” (Hussaini 14). Famous historicist Dani in </w:t>
      </w:r>
      <w:r w:rsidRPr="00580634">
        <w:rPr>
          <w:rFonts w:asciiTheme="majorBidi" w:hAnsiTheme="majorBidi" w:cstheme="majorBidi"/>
          <w:i/>
        </w:rPr>
        <w:lastRenderedPageBreak/>
        <w:t>History of Northern Areas of Pakistan</w:t>
      </w:r>
      <w:r w:rsidRPr="00580634">
        <w:rPr>
          <w:rFonts w:asciiTheme="majorBidi" w:hAnsiTheme="majorBidi" w:cstheme="majorBidi"/>
        </w:rPr>
        <w:t xml:space="preserve"> records that Gujjars “were considered as socially inferior to the farmers” (70). This marginalization is obvious throughout the novel as the local community of Kaghan and Lake Saiful Maluk does not mingle or cooperate much with Maryam’s family: “herders were disliked in the valley. They were considered outcasts” (Khan, </w:t>
      </w:r>
      <w:r w:rsidRPr="00580634">
        <w:rPr>
          <w:rFonts w:asciiTheme="majorBidi" w:hAnsiTheme="majorBidi" w:cstheme="majorBidi"/>
          <w:i/>
        </w:rPr>
        <w:t xml:space="preserve">TTS </w:t>
      </w:r>
      <w:r w:rsidRPr="00580634">
        <w:rPr>
          <w:rFonts w:asciiTheme="majorBidi" w:hAnsiTheme="majorBidi" w:cstheme="majorBidi"/>
        </w:rPr>
        <w:t xml:space="preserve">159). While the state institutions exploit them by implementing various restrictions, the local sedentary people intensify their marginalization by their slurring attitude: “Maryam could hear their insults. Nomads were untethered... They sweated like horses. And smelled even worse” (Khan, </w:t>
      </w:r>
      <w:r w:rsidRPr="00580634">
        <w:rPr>
          <w:rFonts w:asciiTheme="majorBidi" w:hAnsiTheme="majorBidi" w:cstheme="majorBidi"/>
          <w:i/>
        </w:rPr>
        <w:t>TTS</w:t>
      </w:r>
      <w:r w:rsidRPr="00580634">
        <w:rPr>
          <w:rFonts w:asciiTheme="majorBidi" w:hAnsiTheme="majorBidi" w:cstheme="majorBidi"/>
        </w:rPr>
        <w:t xml:space="preserve"> 194). Hence, Maryam is from an ethnic group that is “more expendable than others” (Nixon, </w:t>
      </w:r>
      <w:r w:rsidRPr="00580634">
        <w:rPr>
          <w:rFonts w:asciiTheme="majorBidi" w:hAnsiTheme="majorBidi" w:cstheme="majorBidi"/>
          <w:i/>
        </w:rPr>
        <w:t>SV</w:t>
      </w:r>
      <w:r w:rsidRPr="00580634">
        <w:rPr>
          <w:rFonts w:asciiTheme="majorBidi" w:hAnsiTheme="majorBidi" w:cstheme="majorBidi"/>
        </w:rPr>
        <w:t xml:space="preserve"> 59).</w:t>
      </w:r>
    </w:p>
    <w:p w14:paraId="05DE428B" w14:textId="77777777" w:rsidR="0074709E" w:rsidRPr="00A678F1" w:rsidRDefault="009103BD" w:rsidP="00325FD5">
      <w:pPr>
        <w:autoSpaceDE w:val="0"/>
        <w:autoSpaceDN w:val="0"/>
        <w:adjustRightInd w:val="0"/>
        <w:jc w:val="both"/>
        <w:rPr>
          <w:rFonts w:asciiTheme="majorBidi" w:hAnsiTheme="majorBidi" w:cstheme="majorBidi"/>
          <w:b/>
          <w:bCs/>
          <w:i/>
        </w:rPr>
      </w:pPr>
      <w:r w:rsidRPr="00A678F1">
        <w:rPr>
          <w:rFonts w:asciiTheme="majorBidi" w:hAnsiTheme="majorBidi" w:cstheme="majorBidi"/>
          <w:b/>
          <w:bCs/>
          <w:i/>
        </w:rPr>
        <w:t xml:space="preserve">Categorization on Economic Grounds </w:t>
      </w:r>
    </w:p>
    <w:p w14:paraId="3AAB795B" w14:textId="77777777" w:rsidR="0074709E" w:rsidRPr="00580634" w:rsidRDefault="009103BD" w:rsidP="00325FD5">
      <w:pPr>
        <w:autoSpaceDE w:val="0"/>
        <w:autoSpaceDN w:val="0"/>
        <w:adjustRightInd w:val="0"/>
        <w:ind w:firstLine="720"/>
        <w:jc w:val="both"/>
        <w:rPr>
          <w:rFonts w:asciiTheme="majorBidi" w:hAnsiTheme="majorBidi" w:cstheme="majorBidi"/>
        </w:rPr>
      </w:pPr>
      <w:r w:rsidRPr="00580634">
        <w:rPr>
          <w:rFonts w:asciiTheme="majorBidi" w:hAnsiTheme="majorBidi" w:cstheme="majorBidi"/>
        </w:rPr>
        <w:t xml:space="preserve">Khan writes that “Gujjar children were no strangers to death,” meaning to say that infant mortality rate was quite high among the nomads (Khan, </w:t>
      </w:r>
      <w:r w:rsidRPr="00580634">
        <w:rPr>
          <w:rFonts w:asciiTheme="majorBidi" w:hAnsiTheme="majorBidi" w:cstheme="majorBidi"/>
          <w:i/>
        </w:rPr>
        <w:t>TTS</w:t>
      </w:r>
      <w:r w:rsidRPr="00580634">
        <w:rPr>
          <w:rFonts w:asciiTheme="majorBidi" w:hAnsiTheme="majorBidi" w:cstheme="majorBidi"/>
        </w:rPr>
        <w:t xml:space="preserve"> 127). Many of them could not survive during their first year of life owing to lack of resources to combat against chilly winters and absence of medical facilities. Later in the novel, when Maryam’s arm gets fractured she receives no treatment except an ointment, and that too with quite a lot of delay. Nadir states total lack of attention about the basic rights of the poor nomads: “The state couldn’t care less about them” (Khan, </w:t>
      </w:r>
      <w:r w:rsidRPr="00580634">
        <w:rPr>
          <w:rFonts w:asciiTheme="majorBidi" w:hAnsiTheme="majorBidi" w:cstheme="majorBidi"/>
          <w:i/>
        </w:rPr>
        <w:t>TTS</w:t>
      </w:r>
      <w:r w:rsidRPr="00580634">
        <w:rPr>
          <w:rFonts w:asciiTheme="majorBidi" w:hAnsiTheme="majorBidi" w:cstheme="majorBidi"/>
        </w:rPr>
        <w:t xml:space="preserve"> 189). Facing the shortage of resources, lacking security and certainty; these steppe nomads exist like disposable people. Tucker also describes the herders of the Himalayan region as marginal as they are “ethnically distinct from others around them” (40). Khan writes “nomads everywhere were treated much the same. What the Uyghurs were to the Chinese, the Kazakh cattle-breeders were to Kazakhstan…And the Uzbek herders of Afghanistan…No less pitiful was the condition of shepherds all over Pakistan” (Khan, </w:t>
      </w:r>
      <w:r w:rsidRPr="00580634">
        <w:rPr>
          <w:rFonts w:asciiTheme="majorBidi" w:hAnsiTheme="majorBidi" w:cstheme="majorBidi"/>
          <w:i/>
        </w:rPr>
        <w:t xml:space="preserve">TTS </w:t>
      </w:r>
      <w:r w:rsidRPr="00580634">
        <w:rPr>
          <w:rFonts w:asciiTheme="majorBidi" w:hAnsiTheme="majorBidi" w:cstheme="majorBidi"/>
        </w:rPr>
        <w:t xml:space="preserve"> 211). This linking up of shepherds with the Uyghurs, Kazakh cattle-breeders and Uzbek herders is to highlight the human disposability that is faced by the poor communities. So intersectionality is at the core of human disposability faced by Maryam and her family; they are poor because of being from an underdeveloped country in the Global South, being economically depraved, and being from a marginalised ethnic group.</w:t>
      </w:r>
    </w:p>
    <w:p w14:paraId="5F5B6E00" w14:textId="77777777" w:rsidR="0074709E" w:rsidRPr="00580634" w:rsidRDefault="0074709E" w:rsidP="00325FD5">
      <w:pPr>
        <w:autoSpaceDE w:val="0"/>
        <w:autoSpaceDN w:val="0"/>
        <w:adjustRightInd w:val="0"/>
        <w:jc w:val="both"/>
        <w:rPr>
          <w:rFonts w:asciiTheme="majorBidi" w:hAnsiTheme="majorBidi" w:cstheme="majorBidi"/>
        </w:rPr>
      </w:pPr>
    </w:p>
    <w:p w14:paraId="5197DCF3" w14:textId="77777777" w:rsidR="0074709E" w:rsidRPr="00A678F1" w:rsidRDefault="009103BD" w:rsidP="00325FD5">
      <w:pPr>
        <w:autoSpaceDE w:val="0"/>
        <w:autoSpaceDN w:val="0"/>
        <w:adjustRightInd w:val="0"/>
        <w:jc w:val="both"/>
        <w:rPr>
          <w:rFonts w:asciiTheme="majorBidi" w:hAnsiTheme="majorBidi" w:cstheme="majorBidi"/>
          <w:b/>
          <w:bCs/>
          <w:i/>
        </w:rPr>
      </w:pPr>
      <w:r w:rsidRPr="00A678F1">
        <w:rPr>
          <w:rFonts w:asciiTheme="majorBidi" w:hAnsiTheme="majorBidi" w:cstheme="majorBidi"/>
          <w:b/>
          <w:bCs/>
          <w:i/>
        </w:rPr>
        <w:lastRenderedPageBreak/>
        <w:t>Categorization on the Basis of Gender</w:t>
      </w:r>
    </w:p>
    <w:p w14:paraId="4A044625" w14:textId="77777777" w:rsidR="0074709E" w:rsidRPr="00580634" w:rsidRDefault="009103BD" w:rsidP="00325FD5">
      <w:pPr>
        <w:autoSpaceDE w:val="0"/>
        <w:autoSpaceDN w:val="0"/>
        <w:adjustRightInd w:val="0"/>
        <w:ind w:firstLine="720"/>
        <w:jc w:val="both"/>
        <w:rPr>
          <w:rFonts w:asciiTheme="majorBidi" w:hAnsiTheme="majorBidi" w:cstheme="majorBidi"/>
        </w:rPr>
      </w:pPr>
      <w:r w:rsidRPr="00580634">
        <w:rPr>
          <w:rFonts w:asciiTheme="majorBidi" w:hAnsiTheme="majorBidi" w:cstheme="majorBidi"/>
        </w:rPr>
        <w:t xml:space="preserve">Maryam’s intersectional identities make her more vulnerable due to her being a woman. Being a woman she has to carry the burden of domestic as well as professional tasks. She grazes the cattle, looks after them, and caters to the provisions required for the family. Her husband, Suleiman, with one wooden leg, does not seem much helpful in carrying the burden of daily sustenance. He is so neglectful about Maryam that even when her arm gets fractured, she has to bring the herd back home by herself. Later, because of the fractured arm, she churns milk with one hand with quite a lot of difficulty and gets no help from male family members. Being from a poor disposable class, Maryam is subjected to the male gaze. The police intrude into her home soon after the bombing incident. They ask no question about the bomber; however they ask multiple questions about her family while staring at her all the time as her “shawl was far away” and she was too fear stricken to pick that (Khan, </w:t>
      </w:r>
      <w:r w:rsidRPr="00580634">
        <w:rPr>
          <w:rFonts w:asciiTheme="majorBidi" w:hAnsiTheme="majorBidi" w:cstheme="majorBidi"/>
          <w:i/>
        </w:rPr>
        <w:t>TTS</w:t>
      </w:r>
      <w:r w:rsidRPr="00580634">
        <w:rPr>
          <w:rFonts w:asciiTheme="majorBidi" w:hAnsiTheme="majorBidi" w:cstheme="majorBidi"/>
        </w:rPr>
        <w:t xml:space="preserve"> 215). The state officials who frequently visit to keep their hegemony and to fill their bellies as well as lust, take tea each time calling it “God’s blessing, milk straight from the source, while leering at her breasts” (Khan, </w:t>
      </w:r>
      <w:r w:rsidRPr="00580634">
        <w:rPr>
          <w:rFonts w:asciiTheme="majorBidi" w:hAnsiTheme="majorBidi" w:cstheme="majorBidi"/>
          <w:i/>
        </w:rPr>
        <w:t>TTS</w:t>
      </w:r>
      <w:r w:rsidRPr="00580634">
        <w:rPr>
          <w:rFonts w:asciiTheme="majorBidi" w:hAnsiTheme="majorBidi" w:cstheme="majorBidi"/>
        </w:rPr>
        <w:t xml:space="preserve"> 294). She undergoes sexual objectification because of these policemen’s voyeuristic gaze.   </w:t>
      </w:r>
    </w:p>
    <w:p w14:paraId="2103DA8D" w14:textId="77777777" w:rsidR="0074709E" w:rsidRPr="00A678F1" w:rsidRDefault="009103BD" w:rsidP="00325FD5">
      <w:pPr>
        <w:autoSpaceDE w:val="0"/>
        <w:autoSpaceDN w:val="0"/>
        <w:adjustRightInd w:val="0"/>
        <w:jc w:val="both"/>
        <w:rPr>
          <w:rFonts w:asciiTheme="majorBidi" w:hAnsiTheme="majorBidi" w:cstheme="majorBidi"/>
          <w:b/>
          <w:bCs/>
          <w:i/>
        </w:rPr>
      </w:pPr>
      <w:r w:rsidRPr="00A678F1">
        <w:rPr>
          <w:rFonts w:asciiTheme="majorBidi" w:hAnsiTheme="majorBidi" w:cstheme="majorBidi"/>
          <w:b/>
          <w:bCs/>
          <w:i/>
        </w:rPr>
        <w:t xml:space="preserve">Categorization on Religious Grounds </w:t>
      </w:r>
    </w:p>
    <w:p w14:paraId="2BE41649" w14:textId="77777777" w:rsidR="0074709E" w:rsidRPr="00580634" w:rsidRDefault="009103BD" w:rsidP="00325FD5">
      <w:pPr>
        <w:autoSpaceDE w:val="0"/>
        <w:autoSpaceDN w:val="0"/>
        <w:adjustRightInd w:val="0"/>
        <w:ind w:firstLine="720"/>
        <w:jc w:val="both"/>
        <w:rPr>
          <w:rFonts w:asciiTheme="majorBidi" w:hAnsiTheme="majorBidi" w:cstheme="majorBidi"/>
        </w:rPr>
      </w:pPr>
      <w:r w:rsidRPr="00580634">
        <w:rPr>
          <w:rFonts w:asciiTheme="majorBidi" w:hAnsiTheme="majorBidi" w:cstheme="majorBidi"/>
        </w:rPr>
        <w:t xml:space="preserve">Furthermore, Maryam is marginalised on the basis of her religion because in a predominantly Muslim society, she is a pagan. Not belonging to the mainstream religion increases her marginality and thus vulnerability because “the valley was crawling with men who wanted proof of innocence, and pagan rituals were not innocent” (Khan, </w:t>
      </w:r>
      <w:r w:rsidRPr="00580634">
        <w:rPr>
          <w:rFonts w:asciiTheme="majorBidi" w:hAnsiTheme="majorBidi" w:cstheme="majorBidi"/>
          <w:i/>
        </w:rPr>
        <w:t>TTS</w:t>
      </w:r>
      <w:r w:rsidRPr="00580634">
        <w:rPr>
          <w:rFonts w:asciiTheme="majorBidi" w:hAnsiTheme="majorBidi" w:cstheme="majorBidi"/>
        </w:rPr>
        <w:t xml:space="preserve"> 78). Sedentary people of the valley “had attended Kiran’s funeral rites merely to see if they were Islamic” or pagan (Khan, </w:t>
      </w:r>
      <w:r w:rsidRPr="00580634">
        <w:rPr>
          <w:rFonts w:asciiTheme="majorBidi" w:hAnsiTheme="majorBidi" w:cstheme="majorBidi"/>
          <w:i/>
        </w:rPr>
        <w:t>TTS</w:t>
      </w:r>
      <w:r w:rsidRPr="00580634">
        <w:rPr>
          <w:rFonts w:asciiTheme="majorBidi" w:hAnsiTheme="majorBidi" w:cstheme="majorBidi"/>
        </w:rPr>
        <w:t xml:space="preserve"> 194). She has to be very cautious so as not to leave any trace of her being a shaman’s daughter; for instance, at the arrival of the summer before migrating towards highlands “she had removed all signs of a lowland shrine in a manner unbecoming to a shaman’s daughter” (Khan, </w:t>
      </w:r>
      <w:r w:rsidRPr="00580634">
        <w:rPr>
          <w:rFonts w:asciiTheme="majorBidi" w:hAnsiTheme="majorBidi" w:cstheme="majorBidi"/>
          <w:i/>
        </w:rPr>
        <w:t>TTS</w:t>
      </w:r>
      <w:r w:rsidRPr="00580634">
        <w:rPr>
          <w:rFonts w:asciiTheme="majorBidi" w:hAnsiTheme="majorBidi" w:cstheme="majorBidi"/>
        </w:rPr>
        <w:t xml:space="preserve"> 78). She also feels sad for not being able to burn juniper leaves to blow smoke in the sacred space; a ritual practiced by shamans who “inhaled the smoke of burning juniper branches in order to induce trance” (Dani 77). She can hear the sedentary women “retorting, not a single nomad will rise to </w:t>
      </w:r>
      <w:r w:rsidRPr="00580634">
        <w:rPr>
          <w:rFonts w:asciiTheme="majorBidi" w:hAnsiTheme="majorBidi" w:cstheme="majorBidi"/>
        </w:rPr>
        <w:lastRenderedPageBreak/>
        <w:t xml:space="preserve">heaven” (Khan, </w:t>
      </w:r>
      <w:r w:rsidRPr="00580634">
        <w:rPr>
          <w:rFonts w:asciiTheme="majorBidi" w:hAnsiTheme="majorBidi" w:cstheme="majorBidi"/>
          <w:i/>
        </w:rPr>
        <w:t xml:space="preserve">TTS </w:t>
      </w:r>
      <w:r w:rsidRPr="00580634">
        <w:rPr>
          <w:rFonts w:asciiTheme="majorBidi" w:hAnsiTheme="majorBidi" w:cstheme="majorBidi"/>
        </w:rPr>
        <w:t xml:space="preserve">194). Although Suleiman does not outrightly discourage her pagan rituals, he comments about her following the old calendar instead of the Islamic one as “Pagan seasons, for a pagan wife” (Khan, </w:t>
      </w:r>
      <w:r w:rsidRPr="00580634">
        <w:rPr>
          <w:rFonts w:asciiTheme="majorBidi" w:hAnsiTheme="majorBidi" w:cstheme="majorBidi"/>
          <w:i/>
        </w:rPr>
        <w:t>TTS</w:t>
      </w:r>
      <w:r w:rsidRPr="00580634">
        <w:rPr>
          <w:rFonts w:asciiTheme="majorBidi" w:hAnsiTheme="majorBidi" w:cstheme="majorBidi"/>
        </w:rPr>
        <w:t xml:space="preserve"> 222). His use of the phrase ‘pagan wife’ for Maryam is enough of a pinching taunt that she can never ignore.</w:t>
      </w:r>
    </w:p>
    <w:p w14:paraId="6837B7CC" w14:textId="77777777" w:rsidR="0074709E" w:rsidRPr="00580634" w:rsidRDefault="009103BD" w:rsidP="00325FD5">
      <w:pPr>
        <w:autoSpaceDE w:val="0"/>
        <w:autoSpaceDN w:val="0"/>
        <w:adjustRightInd w:val="0"/>
        <w:ind w:firstLine="720"/>
        <w:jc w:val="both"/>
        <w:rPr>
          <w:rFonts w:asciiTheme="majorBidi" w:hAnsiTheme="majorBidi" w:cstheme="majorBidi"/>
          <w:b/>
        </w:rPr>
      </w:pPr>
      <w:r w:rsidRPr="00580634">
        <w:rPr>
          <w:rFonts w:asciiTheme="majorBidi" w:hAnsiTheme="majorBidi" w:cstheme="majorBidi"/>
        </w:rPr>
        <w:t xml:space="preserve">Maryam prefers the highlands because of the presence of a hidden cave there; a cool and safe place where she pursues her rituals peacefully and with solace. Irfan refers to a “holy site, a secret one…the site of a small cult of worshippers for whom Kaghan belonged to another world, a world of animals and spirits” (Khan, </w:t>
      </w:r>
      <w:r w:rsidRPr="00580634">
        <w:rPr>
          <w:rFonts w:asciiTheme="majorBidi" w:hAnsiTheme="majorBidi" w:cstheme="majorBidi"/>
          <w:i/>
        </w:rPr>
        <w:t>TTS</w:t>
      </w:r>
      <w:r w:rsidRPr="00580634">
        <w:rPr>
          <w:rFonts w:asciiTheme="majorBidi" w:hAnsiTheme="majorBidi" w:cstheme="majorBidi"/>
        </w:rPr>
        <w:t xml:space="preserve"> 165). When so-called hajis from Balakot come to check if there are any pagans in the valley, Maryam and her family come under strict scrutiny by these “wrongly turbaned men” who ask Suleiman to recite Kalma and some other verses from the Holy Quran (Khan, </w:t>
      </w:r>
      <w:r w:rsidRPr="00580634">
        <w:rPr>
          <w:rFonts w:asciiTheme="majorBidi" w:hAnsiTheme="majorBidi" w:cstheme="majorBidi"/>
          <w:i/>
        </w:rPr>
        <w:t>TTS</w:t>
      </w:r>
      <w:r w:rsidRPr="00580634">
        <w:rPr>
          <w:rFonts w:asciiTheme="majorBidi" w:hAnsiTheme="majorBidi" w:cstheme="majorBidi"/>
        </w:rPr>
        <w:t xml:space="preserve"> 260). To put it briefly, Maryam and her family are treated as poor disposable people owing to their ethnic and religious background.   </w:t>
      </w:r>
    </w:p>
    <w:p w14:paraId="3C92FFAD" w14:textId="77777777" w:rsidR="0074709E" w:rsidRPr="00A678F1" w:rsidRDefault="009103BD" w:rsidP="00325FD5">
      <w:pPr>
        <w:autoSpaceDE w:val="0"/>
        <w:autoSpaceDN w:val="0"/>
        <w:adjustRightInd w:val="0"/>
        <w:jc w:val="both"/>
        <w:rPr>
          <w:rFonts w:asciiTheme="majorBidi" w:hAnsiTheme="majorBidi" w:cstheme="majorBidi"/>
          <w:b/>
          <w:bCs/>
          <w:i/>
        </w:rPr>
      </w:pPr>
      <w:r w:rsidRPr="00A678F1">
        <w:rPr>
          <w:rFonts w:asciiTheme="majorBidi" w:hAnsiTheme="majorBidi" w:cstheme="majorBidi"/>
          <w:b/>
          <w:bCs/>
          <w:i/>
        </w:rPr>
        <w:t xml:space="preserve">Womenfolk as Thinner than Skin – Light-Weight, Disposable Casualty  </w:t>
      </w:r>
    </w:p>
    <w:p w14:paraId="6E675F45" w14:textId="77777777" w:rsidR="0074709E" w:rsidRPr="00580634" w:rsidRDefault="009103BD" w:rsidP="00325FD5">
      <w:pPr>
        <w:autoSpaceDE w:val="0"/>
        <w:autoSpaceDN w:val="0"/>
        <w:adjustRightInd w:val="0"/>
        <w:ind w:firstLine="720"/>
        <w:jc w:val="both"/>
        <w:rPr>
          <w:rFonts w:asciiTheme="majorBidi" w:hAnsiTheme="majorBidi" w:cstheme="majorBidi"/>
        </w:rPr>
      </w:pPr>
      <w:r w:rsidRPr="00580634">
        <w:rPr>
          <w:rFonts w:asciiTheme="majorBidi" w:hAnsiTheme="majorBidi" w:cstheme="majorBidi"/>
        </w:rPr>
        <w:t xml:space="preserve">Maryam’s categorization on various intersectional grounds has calamitous repercussions and she is denied justice even at the death of her daughter Kiran. The poor herder’s “child is pulled from her family for amusement,” as Kiran, a young girl, drowns while on boat with Farhana and Nadir (Khan, </w:t>
      </w:r>
      <w:r w:rsidRPr="00580634">
        <w:rPr>
          <w:rFonts w:asciiTheme="majorBidi" w:hAnsiTheme="majorBidi" w:cstheme="majorBidi"/>
          <w:i/>
        </w:rPr>
        <w:t>TTS</w:t>
      </w:r>
      <w:r w:rsidRPr="00580634">
        <w:rPr>
          <w:rFonts w:asciiTheme="majorBidi" w:hAnsiTheme="majorBidi" w:cstheme="majorBidi"/>
        </w:rPr>
        <w:t xml:space="preserve"> 129). She with her gestures of silence and hesitance stands for utmost objectification and marginalization of the poor women. She boards the boat simply at the desire of a rich foreigner, Farhana. More than being morally bound by the traditions of hospitality, Suleiman feels it “even harder to say no to a female guest;” for poor disposable people saying ‘no’ to these tourists from America is not really an option (Khan, </w:t>
      </w:r>
      <w:r w:rsidRPr="00580634">
        <w:rPr>
          <w:rFonts w:asciiTheme="majorBidi" w:hAnsiTheme="majorBidi" w:cstheme="majorBidi"/>
          <w:i/>
        </w:rPr>
        <w:t>TTS</w:t>
      </w:r>
      <w:r w:rsidRPr="00580634">
        <w:rPr>
          <w:rFonts w:asciiTheme="majorBidi" w:hAnsiTheme="majorBidi" w:cstheme="majorBidi"/>
        </w:rPr>
        <w:t xml:space="preserve"> 110). Maryam “watched her daughter being pulled away from her, carried off in a boat with strangers” (Khan, </w:t>
      </w:r>
      <w:r w:rsidRPr="00580634">
        <w:rPr>
          <w:rFonts w:asciiTheme="majorBidi" w:hAnsiTheme="majorBidi" w:cstheme="majorBidi"/>
          <w:i/>
        </w:rPr>
        <w:t>TTS</w:t>
      </w:r>
      <w:r w:rsidRPr="00580634">
        <w:rPr>
          <w:rFonts w:asciiTheme="majorBidi" w:hAnsiTheme="majorBidi" w:cstheme="majorBidi"/>
        </w:rPr>
        <w:t xml:space="preserve"> 117). Kiran shivers with cold and fear while on board: “sat hunkered in the boat as if in a cage” (Khan, </w:t>
      </w:r>
      <w:r w:rsidRPr="00580634">
        <w:rPr>
          <w:rFonts w:asciiTheme="majorBidi" w:hAnsiTheme="majorBidi" w:cstheme="majorBidi"/>
          <w:i/>
        </w:rPr>
        <w:t xml:space="preserve">TTS </w:t>
      </w:r>
      <w:r w:rsidRPr="00580634">
        <w:rPr>
          <w:rFonts w:asciiTheme="majorBidi" w:hAnsiTheme="majorBidi" w:cstheme="majorBidi"/>
        </w:rPr>
        <w:t xml:space="preserve">113). She is totally helpless and has to act in accordance with the desire of the foreign tourists. “She was light but her disquiet was heavy;” the word light does not simply refer to the physical weight but more to human disposability owning to marginalization (Khan, </w:t>
      </w:r>
      <w:r w:rsidRPr="00580634">
        <w:rPr>
          <w:rFonts w:asciiTheme="majorBidi" w:hAnsiTheme="majorBidi" w:cstheme="majorBidi"/>
          <w:i/>
        </w:rPr>
        <w:t>TTS</w:t>
      </w:r>
      <w:r w:rsidRPr="00580634">
        <w:rPr>
          <w:rFonts w:asciiTheme="majorBidi" w:hAnsiTheme="majorBidi" w:cstheme="majorBidi"/>
        </w:rPr>
        <w:t xml:space="preserve"> 111). </w:t>
      </w:r>
    </w:p>
    <w:p w14:paraId="0EBEC897" w14:textId="77777777" w:rsidR="0074709E" w:rsidRPr="00580634" w:rsidRDefault="009103BD" w:rsidP="00325FD5">
      <w:pPr>
        <w:autoSpaceDE w:val="0"/>
        <w:autoSpaceDN w:val="0"/>
        <w:adjustRightInd w:val="0"/>
        <w:ind w:firstLine="720"/>
        <w:jc w:val="both"/>
        <w:rPr>
          <w:rFonts w:asciiTheme="majorBidi" w:hAnsiTheme="majorBidi" w:cstheme="majorBidi"/>
        </w:rPr>
      </w:pPr>
      <w:r w:rsidRPr="00580634">
        <w:rPr>
          <w:rFonts w:asciiTheme="majorBidi" w:hAnsiTheme="majorBidi" w:cstheme="majorBidi"/>
        </w:rPr>
        <w:lastRenderedPageBreak/>
        <w:t xml:space="preserve">Though Kiran shows all the gestures of fear and vulnerability while on the boat, Farhana and Nadir do not bother to drop her back to the shore, so much so that she drowns when the boat suddenly capsizes. As Kiran is a female from a poor ethnic minority, she is treated as “a subjugated entity whose understanding does not mean a lot to Farhana” (Rashid 99). Her meek gestures which remain unattended reflect that poor disposable people are even thinner than skin. This aspect of vulnerability intensifies further in case of women. When Maryam teaches Kiran how to disembowel a goat, Kiran asks “if her skin was as thin as a goat’s” (Khan, </w:t>
      </w:r>
      <w:r w:rsidRPr="00580634">
        <w:rPr>
          <w:rFonts w:asciiTheme="majorBidi" w:hAnsiTheme="majorBidi" w:cstheme="majorBidi"/>
          <w:i/>
        </w:rPr>
        <w:t>TTS</w:t>
      </w:r>
      <w:r w:rsidRPr="00580634">
        <w:rPr>
          <w:rFonts w:asciiTheme="majorBidi" w:hAnsiTheme="majorBidi" w:cstheme="majorBidi"/>
        </w:rPr>
        <w:t xml:space="preserve"> 126). Maryam replies that it is even thinner: “that if a goat could be shred that easily, so could a woman” (Khan, </w:t>
      </w:r>
      <w:r w:rsidRPr="00580634">
        <w:rPr>
          <w:rFonts w:asciiTheme="majorBidi" w:hAnsiTheme="majorBidi" w:cstheme="majorBidi"/>
          <w:i/>
        </w:rPr>
        <w:t>TTS</w:t>
      </w:r>
      <w:r w:rsidRPr="00580634">
        <w:rPr>
          <w:rFonts w:asciiTheme="majorBidi" w:hAnsiTheme="majorBidi" w:cstheme="majorBidi"/>
        </w:rPr>
        <w:t xml:space="preserve"> 126). Hence, “Maryam compares women to an innocent goat who will suffer in the patriarchal society” (Wahab et al 260). The whole episode of Kiran’s drowning is indicative of what Nixon terms as “light-weight, disposable casualties” when it comes to the womenfolk from marginalized community (</w:t>
      </w:r>
      <w:r w:rsidRPr="00580634">
        <w:rPr>
          <w:rFonts w:asciiTheme="majorBidi" w:hAnsiTheme="majorBidi" w:cstheme="majorBidi"/>
          <w:i/>
        </w:rPr>
        <w:t>SV</w:t>
      </w:r>
      <w:r w:rsidRPr="00580634">
        <w:rPr>
          <w:rFonts w:asciiTheme="majorBidi" w:hAnsiTheme="majorBidi" w:cstheme="majorBidi"/>
        </w:rPr>
        <w:t xml:space="preserve"> 13). Categorization of Maryam on ethnic, economic, religious, and feminine grounds make her vulnerable and she confronts human and ecological disposability caused by intersectional systems of oppression. </w:t>
      </w:r>
    </w:p>
    <w:p w14:paraId="4821F955" w14:textId="77777777" w:rsidR="0074709E" w:rsidRPr="00A678F1" w:rsidRDefault="009103BD" w:rsidP="00325FD5">
      <w:pPr>
        <w:autoSpaceDE w:val="0"/>
        <w:autoSpaceDN w:val="0"/>
        <w:adjustRightInd w:val="0"/>
        <w:jc w:val="both"/>
        <w:rPr>
          <w:rFonts w:asciiTheme="majorBidi" w:hAnsiTheme="majorBidi" w:cstheme="majorBidi"/>
          <w:b/>
          <w:bCs/>
        </w:rPr>
      </w:pPr>
      <w:r w:rsidRPr="00A678F1">
        <w:rPr>
          <w:rFonts w:asciiTheme="majorBidi" w:hAnsiTheme="majorBidi" w:cstheme="majorBidi"/>
          <w:b/>
          <w:bCs/>
        </w:rPr>
        <w:t>Intersecting Institutional and Societal Structures – Hegemonic Overlords</w:t>
      </w:r>
    </w:p>
    <w:p w14:paraId="5A671FB9" w14:textId="77777777" w:rsidR="0074709E" w:rsidRPr="00580634" w:rsidRDefault="009103BD" w:rsidP="00325FD5">
      <w:pPr>
        <w:autoSpaceDE w:val="0"/>
        <w:autoSpaceDN w:val="0"/>
        <w:adjustRightInd w:val="0"/>
        <w:ind w:firstLine="720"/>
        <w:jc w:val="both"/>
        <w:rPr>
          <w:rFonts w:asciiTheme="majorBidi" w:hAnsiTheme="majorBidi" w:cstheme="majorBidi"/>
        </w:rPr>
      </w:pPr>
      <w:r w:rsidRPr="00580634">
        <w:rPr>
          <w:rFonts w:asciiTheme="majorBidi" w:eastAsiaTheme="minorHAnsi" w:hAnsiTheme="majorBidi" w:cstheme="majorBidi"/>
          <w:lang w:eastAsia="en-US"/>
        </w:rPr>
        <w:t xml:space="preserve">Intersectionality implies that “Oppression is not a singular process or a binary political relation, but is better understood as constituted by multiple, converging, or interwoven systems” (Carastathis 304). </w:t>
      </w:r>
      <w:r w:rsidRPr="00580634">
        <w:rPr>
          <w:rFonts w:asciiTheme="majorBidi" w:eastAsiaTheme="minorHAnsi" w:hAnsiTheme="majorBidi" w:cstheme="majorBidi"/>
          <w:i/>
          <w:lang w:eastAsia="en-US"/>
        </w:rPr>
        <w:t>TTS</w:t>
      </w:r>
      <w:r w:rsidRPr="00580634">
        <w:rPr>
          <w:rFonts w:asciiTheme="majorBidi" w:hAnsiTheme="majorBidi" w:cstheme="majorBidi"/>
        </w:rPr>
        <w:t xml:space="preserve"> portrays an interwoven system of oppression of the poor ecosystem people at the hands of foreign as well as regional power groups. The theory of slow violence postulates that “third-world governments are often joint partners in the regional plunder” and use their authority to subjugate the poor masses (Nixon, </w:t>
      </w:r>
      <w:r w:rsidRPr="00580634">
        <w:rPr>
          <w:rFonts w:asciiTheme="majorBidi" w:hAnsiTheme="majorBidi" w:cstheme="majorBidi"/>
          <w:i/>
        </w:rPr>
        <w:t>SV</w:t>
      </w:r>
      <w:r w:rsidRPr="00580634">
        <w:rPr>
          <w:rFonts w:asciiTheme="majorBidi" w:hAnsiTheme="majorBidi" w:cstheme="majorBidi"/>
        </w:rPr>
        <w:t xml:space="preserve"> 119).</w:t>
      </w:r>
      <w:r w:rsidRPr="00580634">
        <w:rPr>
          <w:rFonts w:asciiTheme="majorBidi" w:eastAsiaTheme="minorHAnsi" w:hAnsiTheme="majorBidi" w:cstheme="majorBidi"/>
          <w:lang w:eastAsia="en-US"/>
        </w:rPr>
        <w:t xml:space="preserve"> </w:t>
      </w:r>
      <w:r w:rsidRPr="00580634">
        <w:rPr>
          <w:rFonts w:asciiTheme="majorBidi" w:hAnsiTheme="majorBidi" w:cstheme="majorBidi"/>
        </w:rPr>
        <w:t xml:space="preserve">Set in the context of GWOT by the US and its Allies in Afghanistan with its impact upon the neighbouring country Pakistan, </w:t>
      </w:r>
      <w:r w:rsidRPr="00580634">
        <w:rPr>
          <w:rFonts w:asciiTheme="majorBidi" w:hAnsiTheme="majorBidi" w:cstheme="majorBidi"/>
          <w:i/>
        </w:rPr>
        <w:t>TTS</w:t>
      </w:r>
      <w:r w:rsidRPr="00580634">
        <w:rPr>
          <w:rFonts w:asciiTheme="majorBidi" w:hAnsiTheme="majorBidi" w:cstheme="majorBidi"/>
        </w:rPr>
        <w:t xml:space="preserve"> presents the resurgent imperialism and western hegemony in twofold way: tourism and militarization. Firstly, the novel presents the human and ecological disposability confronted by the Pakistanis in the face of </w:t>
      </w:r>
      <w:r w:rsidRPr="00580634">
        <w:rPr>
          <w:rStyle w:val="addmd"/>
          <w:rFonts w:asciiTheme="majorBidi" w:hAnsiTheme="majorBidi" w:cstheme="majorBidi"/>
        </w:rPr>
        <w:t>Global War on Terror</w:t>
      </w:r>
      <w:r w:rsidRPr="00580634">
        <w:rPr>
          <w:rFonts w:asciiTheme="majorBidi" w:hAnsiTheme="majorBidi" w:cstheme="majorBidi"/>
        </w:rPr>
        <w:t xml:space="preserve"> as they are exposed to drone attacks, widespread terrorism, and insurgency. Secondly, at a symbolic level Nadir and Farhana act as hegemonic overlords from America as they visit Pakistan and bring death to </w:t>
      </w:r>
      <w:r w:rsidRPr="00580634">
        <w:rPr>
          <w:rFonts w:asciiTheme="majorBidi" w:hAnsiTheme="majorBidi" w:cstheme="majorBidi"/>
        </w:rPr>
        <w:lastRenderedPageBreak/>
        <w:t xml:space="preserve">an innocent girl. Maryam is the one on whom the unreturned favour weighs quite heavily and her family is compelled to stake their claims to social and environmental justice. In </w:t>
      </w:r>
      <w:r w:rsidRPr="00580634">
        <w:rPr>
          <w:rFonts w:asciiTheme="majorBidi" w:hAnsiTheme="majorBidi" w:cstheme="majorBidi"/>
          <w:i/>
        </w:rPr>
        <w:t>TTS</w:t>
      </w:r>
      <w:r w:rsidRPr="00580634">
        <w:rPr>
          <w:rFonts w:asciiTheme="majorBidi" w:hAnsiTheme="majorBidi" w:cstheme="majorBidi"/>
        </w:rPr>
        <w:t xml:space="preserve"> police, forest department, revenue department, police, military, and other state offices do not play much different a role from overlords of timber mafia or Islamic militant groups; all of them contribute in making a network of hegemony; thus, seizing the resources of the already poor impoverished community.</w:t>
      </w:r>
    </w:p>
    <w:p w14:paraId="4138E0FC" w14:textId="77777777" w:rsidR="0074709E" w:rsidRPr="00A678F1" w:rsidRDefault="009103BD" w:rsidP="00325FD5">
      <w:pPr>
        <w:autoSpaceDE w:val="0"/>
        <w:autoSpaceDN w:val="0"/>
        <w:adjustRightInd w:val="0"/>
        <w:jc w:val="both"/>
        <w:rPr>
          <w:rFonts w:asciiTheme="majorBidi" w:hAnsiTheme="majorBidi" w:cstheme="majorBidi"/>
          <w:b/>
          <w:bCs/>
          <w:i/>
        </w:rPr>
      </w:pPr>
      <w:r w:rsidRPr="00A678F1">
        <w:rPr>
          <w:rFonts w:asciiTheme="majorBidi" w:hAnsiTheme="majorBidi" w:cstheme="majorBidi"/>
          <w:b/>
          <w:bCs/>
          <w:i/>
        </w:rPr>
        <w:t>GWOT, the US Intervention and Colonial Buccaneering Redux</w:t>
      </w:r>
    </w:p>
    <w:p w14:paraId="3E1C0926" w14:textId="77777777" w:rsidR="0074709E" w:rsidRPr="00580634" w:rsidRDefault="009103BD" w:rsidP="00325FD5">
      <w:pPr>
        <w:ind w:firstLine="720"/>
        <w:jc w:val="both"/>
        <w:rPr>
          <w:rStyle w:val="addmd"/>
          <w:rFonts w:asciiTheme="majorBidi" w:hAnsiTheme="majorBidi" w:cstheme="majorBidi"/>
        </w:rPr>
      </w:pPr>
      <w:r w:rsidRPr="00580634">
        <w:rPr>
          <w:rStyle w:val="addmd"/>
          <w:rFonts w:asciiTheme="majorBidi" w:hAnsiTheme="majorBidi" w:cstheme="majorBidi"/>
          <w:i/>
        </w:rPr>
        <w:t>TTS</w:t>
      </w:r>
      <w:r w:rsidRPr="00580634">
        <w:rPr>
          <w:rStyle w:val="addmd"/>
          <w:rFonts w:asciiTheme="majorBidi" w:hAnsiTheme="majorBidi" w:cstheme="majorBidi"/>
        </w:rPr>
        <w:t xml:space="preserve"> has been set in the backdrop of GWOT which not only badly affected the lives of Afghanis but also brought calamitous situation for the people of Pakistan, especially of NWFP and Balochistan. GWOT brought missile attacks through drones, banning terrorist groups, increased involvement of police/ military, and heightened insurgency. “Military campaign to eliminate terrorists” and “to end any support for terrorists, including sanctuaries and safe havens” is portrayed in </w:t>
      </w:r>
      <w:r w:rsidRPr="00580634">
        <w:rPr>
          <w:rStyle w:val="addmd"/>
          <w:rFonts w:asciiTheme="majorBidi" w:hAnsiTheme="majorBidi" w:cstheme="majorBidi"/>
          <w:i/>
        </w:rPr>
        <w:t>TTS</w:t>
      </w:r>
      <w:r w:rsidRPr="00580634">
        <w:rPr>
          <w:rStyle w:val="addmd"/>
          <w:rFonts w:asciiTheme="majorBidi" w:hAnsiTheme="majorBidi" w:cstheme="majorBidi"/>
        </w:rPr>
        <w:t xml:space="preserve"> as the normal lives of the native people are disrupted by military’s intrusion especially the family life of the protagonist Maryam (Kayani 3). Maryam is not safe within her home as anytime military, police force or members of religious groups could intrude into her haven.</w:t>
      </w:r>
    </w:p>
    <w:p w14:paraId="5497DC55" w14:textId="77777777" w:rsidR="0074709E" w:rsidRPr="00580634" w:rsidRDefault="009103BD" w:rsidP="00325FD5">
      <w:pPr>
        <w:ind w:firstLine="720"/>
        <w:jc w:val="both"/>
        <w:rPr>
          <w:rFonts w:asciiTheme="majorBidi" w:hAnsiTheme="majorBidi" w:cstheme="majorBidi"/>
        </w:rPr>
      </w:pPr>
      <w:r w:rsidRPr="00580634">
        <w:rPr>
          <w:rFonts w:asciiTheme="majorBidi" w:hAnsiTheme="majorBidi" w:cstheme="majorBidi"/>
        </w:rPr>
        <w:t>Terrorism penetrates throughout the country be it Waziristan, or the biggest city Karachi or the farthest areas in the north like Kaghan and Gilgit.</w:t>
      </w:r>
      <w:r w:rsidRPr="00580634">
        <w:rPr>
          <w:rStyle w:val="addmd"/>
          <w:rFonts w:asciiTheme="majorBidi" w:hAnsiTheme="majorBidi" w:cstheme="majorBidi"/>
        </w:rPr>
        <w:t xml:space="preserve"> The valley is quite full of </w:t>
      </w:r>
      <w:r w:rsidRPr="00580634">
        <w:rPr>
          <w:rFonts w:asciiTheme="majorBidi" w:hAnsiTheme="majorBidi" w:cstheme="majorBidi"/>
        </w:rPr>
        <w:t xml:space="preserve">“al-Qaeda hideouts, suicide bombers, bearded fanatics” (Khan, </w:t>
      </w:r>
      <w:r w:rsidRPr="00580634">
        <w:rPr>
          <w:rFonts w:asciiTheme="majorBidi" w:hAnsiTheme="majorBidi" w:cstheme="majorBidi"/>
          <w:i/>
        </w:rPr>
        <w:t xml:space="preserve">TTS </w:t>
      </w:r>
      <w:r w:rsidRPr="00580634">
        <w:rPr>
          <w:rFonts w:asciiTheme="majorBidi" w:hAnsiTheme="majorBidi" w:cstheme="majorBidi"/>
        </w:rPr>
        <w:t xml:space="preserve">104). “They don’t know who’s who spies or militants,” he jabbered on, “And who’s working for who – America, Pakistan, or India” (Khan, </w:t>
      </w:r>
      <w:r w:rsidRPr="00580634">
        <w:rPr>
          <w:rFonts w:asciiTheme="majorBidi" w:hAnsiTheme="majorBidi" w:cstheme="majorBidi"/>
          <w:i/>
        </w:rPr>
        <w:t xml:space="preserve">TTS </w:t>
      </w:r>
      <w:r w:rsidRPr="00580634">
        <w:rPr>
          <w:rFonts w:asciiTheme="majorBidi" w:hAnsiTheme="majorBidi" w:cstheme="majorBidi"/>
        </w:rPr>
        <w:t xml:space="preserve">186). </w:t>
      </w:r>
      <w:r w:rsidRPr="00580634">
        <w:rPr>
          <w:rStyle w:val="addmd"/>
          <w:rFonts w:asciiTheme="majorBidi" w:hAnsiTheme="majorBidi" w:cstheme="majorBidi"/>
        </w:rPr>
        <w:t xml:space="preserve">The Americans and its Allies are the short-termers who come to bombard the country for their benefit, while the native long-termers are bound to face displacement and “live inside the ecological aftermath” (Nixon, </w:t>
      </w:r>
      <w:r w:rsidRPr="00580634">
        <w:rPr>
          <w:rStyle w:val="addmd"/>
          <w:rFonts w:asciiTheme="majorBidi" w:hAnsiTheme="majorBidi" w:cstheme="majorBidi"/>
          <w:i/>
        </w:rPr>
        <w:t>SV</w:t>
      </w:r>
      <w:r w:rsidRPr="00580634">
        <w:rPr>
          <w:rStyle w:val="addmd"/>
          <w:rFonts w:asciiTheme="majorBidi" w:hAnsiTheme="majorBidi" w:cstheme="majorBidi"/>
        </w:rPr>
        <w:t xml:space="preserve"> 17). Khan documents “</w:t>
      </w:r>
      <w:r w:rsidRPr="00580634">
        <w:rPr>
          <w:rFonts w:asciiTheme="majorBidi" w:hAnsiTheme="majorBidi" w:cstheme="majorBidi"/>
        </w:rPr>
        <w:t xml:space="preserve">the disproportionate impact that U.S. global ambitions and policies have exerted over socioenvironmental landscapes internationally” by portraying that how the lives of the people settled in the farthest areas in the north of Pakistan are affected by GWOT (Nixon, </w:t>
      </w:r>
      <w:r w:rsidRPr="00580634">
        <w:rPr>
          <w:rFonts w:asciiTheme="majorBidi" w:hAnsiTheme="majorBidi" w:cstheme="majorBidi"/>
          <w:i/>
        </w:rPr>
        <w:t>SV</w:t>
      </w:r>
      <w:r w:rsidRPr="00580634">
        <w:rPr>
          <w:rFonts w:asciiTheme="majorBidi" w:hAnsiTheme="majorBidi" w:cstheme="majorBidi"/>
        </w:rPr>
        <w:t xml:space="preserve"> 34). </w:t>
      </w:r>
    </w:p>
    <w:p w14:paraId="60EC8770" w14:textId="77777777" w:rsidR="0074709E" w:rsidRPr="00A678F1" w:rsidRDefault="009103BD" w:rsidP="00325FD5">
      <w:pPr>
        <w:autoSpaceDE w:val="0"/>
        <w:autoSpaceDN w:val="0"/>
        <w:adjustRightInd w:val="0"/>
        <w:jc w:val="both"/>
        <w:rPr>
          <w:rFonts w:asciiTheme="majorBidi" w:hAnsiTheme="majorBidi" w:cstheme="majorBidi"/>
          <w:b/>
          <w:bCs/>
          <w:i/>
        </w:rPr>
      </w:pPr>
      <w:r w:rsidRPr="00A678F1">
        <w:rPr>
          <w:rFonts w:asciiTheme="majorBidi" w:hAnsiTheme="majorBidi" w:cstheme="majorBidi"/>
          <w:b/>
          <w:bCs/>
          <w:i/>
        </w:rPr>
        <w:t>Nadir’s Voyeuristic Gaze of the Colonizer</w:t>
      </w:r>
    </w:p>
    <w:p w14:paraId="6D14B65E" w14:textId="77777777" w:rsidR="0074709E" w:rsidRPr="00580634" w:rsidRDefault="0074709E" w:rsidP="00325FD5">
      <w:pPr>
        <w:autoSpaceDE w:val="0"/>
        <w:autoSpaceDN w:val="0"/>
        <w:adjustRightInd w:val="0"/>
        <w:ind w:firstLine="720"/>
        <w:jc w:val="both"/>
        <w:rPr>
          <w:rFonts w:asciiTheme="majorBidi" w:hAnsiTheme="majorBidi" w:cstheme="majorBidi"/>
        </w:rPr>
      </w:pPr>
    </w:p>
    <w:p w14:paraId="4EA51674" w14:textId="77777777" w:rsidR="0074709E" w:rsidRPr="00580634" w:rsidRDefault="009103BD" w:rsidP="00325FD5">
      <w:pPr>
        <w:autoSpaceDE w:val="0"/>
        <w:autoSpaceDN w:val="0"/>
        <w:adjustRightInd w:val="0"/>
        <w:ind w:firstLine="720"/>
        <w:jc w:val="both"/>
        <w:rPr>
          <w:rFonts w:asciiTheme="majorBidi" w:hAnsiTheme="majorBidi" w:cstheme="majorBidi"/>
        </w:rPr>
      </w:pPr>
      <w:r w:rsidRPr="00580634">
        <w:rPr>
          <w:rFonts w:asciiTheme="majorBidi" w:hAnsiTheme="majorBidi" w:cstheme="majorBidi"/>
        </w:rPr>
        <w:lastRenderedPageBreak/>
        <w:t xml:space="preserve">Nadir is a photographer by profession hoping to click the photographs in Pakistan that will be readily accepted in the American market. Thus, photography becomes one of the many ways to cash the resources of another people in another land – a modern form of resource imperialism. While back in America at an interview, he was advised “Next time you go home, take some photographs… Use your advantage” (Khan, </w:t>
      </w:r>
      <w:r w:rsidRPr="00580634">
        <w:rPr>
          <w:rFonts w:asciiTheme="majorBidi" w:hAnsiTheme="majorBidi" w:cstheme="majorBidi"/>
          <w:i/>
        </w:rPr>
        <w:t>TTS</w:t>
      </w:r>
      <w:r w:rsidRPr="00580634">
        <w:rPr>
          <w:rFonts w:asciiTheme="majorBidi" w:hAnsiTheme="majorBidi" w:cstheme="majorBidi"/>
        </w:rPr>
        <w:t xml:space="preserve"> 13). It means that Nadir has an advantageous position over Pakistanis and can use them for his gain. While Pakistanis are classified as poor, Nadir has the superior eye of a tourist from America and the lens of his camera is the gaze of the neo-colonizer. Khan links the concept of ‘gaze’ with photography – “the fascist eye… the way the Third World is seen by the First World … What he (Farhana’s grandfather) called </w:t>
      </w:r>
      <w:r w:rsidRPr="00580634">
        <w:rPr>
          <w:rFonts w:asciiTheme="majorBidi" w:hAnsiTheme="majorBidi" w:cstheme="majorBidi"/>
          <w:i/>
        </w:rPr>
        <w:t>ghoorna</w:t>
      </w:r>
      <w:r w:rsidRPr="00580634">
        <w:rPr>
          <w:rFonts w:asciiTheme="majorBidi" w:hAnsiTheme="majorBidi" w:cstheme="majorBidi"/>
        </w:rPr>
        <w:t xml:space="preserve">. Their gaze. On us” (Khan, </w:t>
      </w:r>
      <w:r w:rsidRPr="00580634">
        <w:rPr>
          <w:rFonts w:asciiTheme="majorBidi" w:hAnsiTheme="majorBidi" w:cstheme="majorBidi"/>
          <w:i/>
        </w:rPr>
        <w:t>TTS</w:t>
      </w:r>
      <w:r w:rsidRPr="00580634">
        <w:rPr>
          <w:rFonts w:asciiTheme="majorBidi" w:hAnsiTheme="majorBidi" w:cstheme="majorBidi"/>
        </w:rPr>
        <w:t xml:space="preserve"> 57). This is the superior way the overlords gaze the inferior, as the British look at village women of the subcontinent, as the way Japanese gazed the local Malayan women during the World War II, or the Japanese soldiers’ lustful gazing, and even raping, Chinese women. Maryam feels this ghoorna/gaze in the eyes of Nadir – a shadowy overlord from the country that is centre of power – who does not give her free space even with the dead body of her daughter: “</w:t>
      </w:r>
      <w:r w:rsidRPr="00580634">
        <w:rPr>
          <w:rFonts w:asciiTheme="majorBidi" w:eastAsiaTheme="minorHAnsi" w:hAnsiTheme="majorBidi" w:cstheme="majorBidi"/>
          <w:lang w:eastAsia="en-US"/>
        </w:rPr>
        <w:t xml:space="preserve">The man with no tongue, committing a second murder. He would not even allow her the dignity of being the first to welcome her daughter back. He would not even abstain from the sacrilege of looking at Kiran without love, without history… Maryam held his gaze, the killer’s, the one who had stolen their youth” (Khan, </w:t>
      </w:r>
      <w:r w:rsidRPr="00580634">
        <w:rPr>
          <w:rFonts w:asciiTheme="majorBidi" w:eastAsiaTheme="minorHAnsi" w:hAnsiTheme="majorBidi" w:cstheme="majorBidi"/>
          <w:i/>
          <w:lang w:eastAsia="en-US"/>
        </w:rPr>
        <w:t>TTS</w:t>
      </w:r>
      <w:r w:rsidRPr="00580634">
        <w:rPr>
          <w:rFonts w:asciiTheme="majorBidi" w:eastAsiaTheme="minorHAnsi" w:hAnsiTheme="majorBidi" w:cstheme="majorBidi"/>
          <w:lang w:eastAsia="en-US"/>
        </w:rPr>
        <w:t xml:space="preserve"> 130). Nadir emerges as a murderous overlord/ neocolonizer who puts the lives of the poor ecosystem people like Maryam and Kiran at stake: </w:t>
      </w:r>
      <w:r w:rsidRPr="00580634">
        <w:rPr>
          <w:rFonts w:asciiTheme="majorBidi" w:hAnsiTheme="majorBidi" w:cstheme="majorBidi"/>
        </w:rPr>
        <w:t xml:space="preserve">“A woman a child, a voyeur. How quiet the confrontation. How murderous the gaze” (Khan, </w:t>
      </w:r>
      <w:r w:rsidRPr="00580634">
        <w:rPr>
          <w:rFonts w:asciiTheme="majorBidi" w:hAnsiTheme="majorBidi" w:cstheme="majorBidi"/>
          <w:i/>
        </w:rPr>
        <w:t>TTS</w:t>
      </w:r>
      <w:r w:rsidRPr="00580634">
        <w:rPr>
          <w:rFonts w:asciiTheme="majorBidi" w:hAnsiTheme="majorBidi" w:cstheme="majorBidi"/>
        </w:rPr>
        <w:t xml:space="preserve"> 107). </w:t>
      </w:r>
    </w:p>
    <w:p w14:paraId="2E5B45F8" w14:textId="77777777" w:rsidR="0074709E" w:rsidRPr="00A678F1" w:rsidRDefault="009103BD" w:rsidP="00325FD5">
      <w:pPr>
        <w:autoSpaceDE w:val="0"/>
        <w:autoSpaceDN w:val="0"/>
        <w:adjustRightInd w:val="0"/>
        <w:jc w:val="both"/>
        <w:rPr>
          <w:rFonts w:asciiTheme="majorBidi" w:hAnsiTheme="majorBidi" w:cstheme="majorBidi"/>
          <w:b/>
          <w:bCs/>
          <w:i/>
        </w:rPr>
      </w:pPr>
      <w:r w:rsidRPr="00A678F1">
        <w:rPr>
          <w:rStyle w:val="addmd"/>
          <w:rFonts w:asciiTheme="majorBidi" w:hAnsiTheme="majorBidi" w:cstheme="majorBidi"/>
          <w:b/>
          <w:bCs/>
        </w:rPr>
        <w:t xml:space="preserve"> </w:t>
      </w:r>
      <w:r w:rsidRPr="00A678F1">
        <w:rPr>
          <w:rFonts w:asciiTheme="majorBidi" w:hAnsiTheme="majorBidi" w:cstheme="majorBidi"/>
          <w:b/>
          <w:bCs/>
          <w:i/>
        </w:rPr>
        <w:t xml:space="preserve">Foreign Burden and </w:t>
      </w:r>
      <w:r w:rsidRPr="00A678F1">
        <w:rPr>
          <w:rFonts w:asciiTheme="majorBidi" w:eastAsiaTheme="minorHAnsi" w:hAnsiTheme="majorBidi" w:cstheme="majorBidi"/>
          <w:b/>
          <w:bCs/>
          <w:i/>
          <w:lang w:eastAsia="en-US"/>
        </w:rPr>
        <w:t>Deconsecration of the Womb</w:t>
      </w:r>
    </w:p>
    <w:p w14:paraId="7E980F29" w14:textId="77777777" w:rsidR="0074709E" w:rsidRPr="00580634" w:rsidRDefault="009103BD" w:rsidP="00325FD5">
      <w:pPr>
        <w:autoSpaceDE w:val="0"/>
        <w:autoSpaceDN w:val="0"/>
        <w:adjustRightInd w:val="0"/>
        <w:ind w:firstLine="720"/>
        <w:jc w:val="both"/>
        <w:rPr>
          <w:rFonts w:asciiTheme="majorBidi" w:eastAsiaTheme="minorHAnsi" w:hAnsiTheme="majorBidi" w:cstheme="majorBidi"/>
          <w:lang w:eastAsia="en-US"/>
        </w:rPr>
      </w:pPr>
      <w:r w:rsidRPr="00580634">
        <w:rPr>
          <w:rFonts w:asciiTheme="majorBidi" w:hAnsiTheme="majorBidi" w:cstheme="majorBidi"/>
        </w:rPr>
        <w:t xml:space="preserve">The hegemony of the West over the poor developing country like Pakistan has been presented at the macro level through the impact of GWOT and its effects on the area and at a micro level through the drowning of Kiran at the hands of the tourists from the US. Nadir and Farhana belong to the corporate culture and thus use the people and the environment of Kaghan as easily disposable commodities for their aim of knowledge production (photographs or glaciology). Khan exemplifies that “the unreturned favour </w:t>
      </w:r>
      <w:r w:rsidRPr="00580634">
        <w:rPr>
          <w:rFonts w:asciiTheme="majorBidi" w:hAnsiTheme="majorBidi" w:cstheme="majorBidi"/>
        </w:rPr>
        <w:lastRenderedPageBreak/>
        <w:t>weighs especially heavily on impoverished communities” which are treated as disposable. Maryam’s family has a tradition of hospitality, so she sends pears, apricots, potatoes, hot bread and honey to the tourists</w:t>
      </w:r>
      <w:r w:rsidRPr="00580634">
        <w:rPr>
          <w:rFonts w:asciiTheme="majorBidi" w:hAnsiTheme="majorBidi" w:cstheme="majorBidi"/>
          <w:b/>
        </w:rPr>
        <w:t xml:space="preserve"> </w:t>
      </w:r>
      <w:r w:rsidRPr="00580634">
        <w:rPr>
          <w:rFonts w:asciiTheme="majorBidi" w:hAnsiTheme="majorBidi" w:cstheme="majorBidi"/>
        </w:rPr>
        <w:t>“</w:t>
      </w:r>
      <w:r w:rsidRPr="00580634">
        <w:rPr>
          <w:rFonts w:asciiTheme="majorBidi" w:eastAsiaTheme="minorHAnsi" w:hAnsiTheme="majorBidi" w:cstheme="majorBidi"/>
          <w:lang w:eastAsia="en-US"/>
        </w:rPr>
        <w:t xml:space="preserve">the two men from the city and the two Angrez from even farther away than the steppes of her imagination” (Khan, </w:t>
      </w:r>
      <w:r w:rsidRPr="00580634">
        <w:rPr>
          <w:rFonts w:asciiTheme="majorBidi" w:eastAsiaTheme="minorHAnsi" w:hAnsiTheme="majorBidi" w:cstheme="majorBidi"/>
          <w:i/>
          <w:lang w:eastAsia="en-US"/>
        </w:rPr>
        <w:t xml:space="preserve">TTS </w:t>
      </w:r>
      <w:r w:rsidRPr="00580634">
        <w:rPr>
          <w:rFonts w:asciiTheme="majorBidi" w:eastAsiaTheme="minorHAnsi" w:hAnsiTheme="majorBidi" w:cstheme="majorBidi"/>
          <w:lang w:eastAsia="en-US"/>
        </w:rPr>
        <w:t xml:space="preserve">79). Younis’s </w:t>
      </w:r>
      <w:r w:rsidRPr="00580634">
        <w:rPr>
          <w:rFonts w:asciiTheme="majorBidi" w:hAnsiTheme="majorBidi" w:cstheme="majorBidi"/>
        </w:rPr>
        <w:t>bearing gifts including the fresh honey which is “</w:t>
      </w:r>
      <w:r w:rsidRPr="00580634">
        <w:rPr>
          <w:rFonts w:asciiTheme="majorBidi" w:eastAsiaTheme="minorHAnsi" w:hAnsiTheme="majorBidi" w:cstheme="majorBidi"/>
          <w:lang w:eastAsia="en-US"/>
        </w:rPr>
        <w:t>the most valued item they had carried on the horse</w:t>
      </w:r>
      <w:r w:rsidRPr="00580634">
        <w:rPr>
          <w:rFonts w:asciiTheme="majorBidi" w:hAnsiTheme="majorBidi" w:cstheme="majorBidi"/>
        </w:rPr>
        <w:t xml:space="preserve">” symbolizes how the resources of the poor disposable people are consumed by the hegemonic overlords who continue devouring more and more </w:t>
      </w:r>
      <w:r w:rsidRPr="00580634">
        <w:rPr>
          <w:rFonts w:asciiTheme="majorBidi" w:eastAsiaTheme="minorHAnsi" w:hAnsiTheme="majorBidi" w:cstheme="majorBidi"/>
          <w:lang w:eastAsia="en-US"/>
        </w:rPr>
        <w:t xml:space="preserve">(Khan, </w:t>
      </w:r>
      <w:r w:rsidRPr="00580634">
        <w:rPr>
          <w:rFonts w:asciiTheme="majorBidi" w:eastAsiaTheme="minorHAnsi" w:hAnsiTheme="majorBidi" w:cstheme="majorBidi"/>
          <w:i/>
          <w:lang w:eastAsia="en-US"/>
        </w:rPr>
        <w:t xml:space="preserve">TTS </w:t>
      </w:r>
      <w:r w:rsidRPr="00580634">
        <w:rPr>
          <w:rFonts w:asciiTheme="majorBidi" w:eastAsiaTheme="minorHAnsi" w:hAnsiTheme="majorBidi" w:cstheme="majorBidi"/>
          <w:lang w:eastAsia="en-US"/>
        </w:rPr>
        <w:t>79).</w:t>
      </w:r>
    </w:p>
    <w:p w14:paraId="2A8A9075" w14:textId="77777777" w:rsidR="0074709E" w:rsidRPr="00580634" w:rsidRDefault="009103BD" w:rsidP="00325FD5">
      <w:pPr>
        <w:autoSpaceDE w:val="0"/>
        <w:autoSpaceDN w:val="0"/>
        <w:adjustRightInd w:val="0"/>
        <w:ind w:firstLine="720"/>
        <w:jc w:val="both"/>
        <w:rPr>
          <w:rFonts w:asciiTheme="majorBidi" w:hAnsiTheme="majorBidi" w:cstheme="majorBidi"/>
        </w:rPr>
      </w:pPr>
      <w:r w:rsidRPr="00580634">
        <w:rPr>
          <w:rFonts w:asciiTheme="majorBidi" w:hAnsiTheme="majorBidi" w:cstheme="majorBidi"/>
        </w:rPr>
        <w:t xml:space="preserve">Farhana  “tries to behave like a saviour without knowing what it is that the nomads need to be protected from – tourists, men with guns, forest inspectors, or religious extremists” (Jabeen 359). She is quite judgemental and decides on behalf of Kiran whether she wants to go for boating or not, telling Nadir that </w:t>
      </w:r>
      <w:r w:rsidRPr="00580634">
        <w:rPr>
          <w:rFonts w:asciiTheme="majorBidi" w:eastAsiaTheme="minorHAnsi" w:hAnsiTheme="majorBidi" w:cstheme="majorBidi"/>
          <w:lang w:eastAsia="en-US"/>
        </w:rPr>
        <w:t xml:space="preserve">“she </w:t>
      </w:r>
      <w:r w:rsidRPr="00580634">
        <w:rPr>
          <w:rFonts w:asciiTheme="majorBidi" w:eastAsiaTheme="minorHAnsi" w:hAnsiTheme="majorBidi" w:cstheme="majorBidi"/>
          <w:i/>
          <w:iCs/>
          <w:lang w:eastAsia="en-US" w:bidi="he-IL"/>
        </w:rPr>
        <w:t xml:space="preserve">wants </w:t>
      </w:r>
      <w:r w:rsidRPr="00580634">
        <w:rPr>
          <w:rFonts w:asciiTheme="majorBidi" w:eastAsiaTheme="minorHAnsi" w:hAnsiTheme="majorBidi" w:cstheme="majorBidi"/>
          <w:lang w:eastAsia="en-US"/>
        </w:rPr>
        <w:t xml:space="preserve">to. No one’s ever </w:t>
      </w:r>
      <w:r w:rsidRPr="00580634">
        <w:rPr>
          <w:rFonts w:asciiTheme="majorBidi" w:eastAsiaTheme="minorHAnsi" w:hAnsiTheme="majorBidi" w:cstheme="majorBidi"/>
          <w:i/>
          <w:iCs/>
          <w:lang w:eastAsia="en-US" w:bidi="he-IL"/>
        </w:rPr>
        <w:t xml:space="preserve">asked </w:t>
      </w:r>
      <w:r w:rsidRPr="00580634">
        <w:rPr>
          <w:rFonts w:asciiTheme="majorBidi" w:eastAsiaTheme="minorHAnsi" w:hAnsiTheme="majorBidi" w:cstheme="majorBidi"/>
          <w:lang w:eastAsia="en-US"/>
        </w:rPr>
        <w:t xml:space="preserve">what </w:t>
      </w:r>
      <w:r w:rsidRPr="00580634">
        <w:rPr>
          <w:rFonts w:asciiTheme="majorBidi" w:eastAsiaTheme="minorHAnsi" w:hAnsiTheme="majorBidi" w:cstheme="majorBidi"/>
          <w:i/>
          <w:iCs/>
          <w:lang w:eastAsia="en-US" w:bidi="he-IL"/>
        </w:rPr>
        <w:t xml:space="preserve">she </w:t>
      </w:r>
      <w:r w:rsidRPr="00580634">
        <w:rPr>
          <w:rFonts w:asciiTheme="majorBidi" w:eastAsiaTheme="minorHAnsi" w:hAnsiTheme="majorBidi" w:cstheme="majorBidi"/>
          <w:lang w:eastAsia="en-US"/>
        </w:rPr>
        <w:t xml:space="preserve">wants” (Khan, </w:t>
      </w:r>
      <w:r w:rsidRPr="00580634">
        <w:rPr>
          <w:rFonts w:asciiTheme="majorBidi" w:eastAsiaTheme="minorHAnsi" w:hAnsiTheme="majorBidi" w:cstheme="majorBidi"/>
          <w:i/>
          <w:lang w:eastAsia="en-US"/>
        </w:rPr>
        <w:t>TTS</w:t>
      </w:r>
      <w:r w:rsidRPr="00580634">
        <w:rPr>
          <w:rFonts w:asciiTheme="majorBidi" w:eastAsiaTheme="minorHAnsi" w:hAnsiTheme="majorBidi" w:cstheme="majorBidi"/>
          <w:lang w:eastAsia="en-US"/>
        </w:rPr>
        <w:t xml:space="preserve"> 109). This is the attitude of a lord imposing her will on the poor subjugated people. Even when Kiran skipped away to show her unwillingness, Farhana is bent upon taking her for boating. Irfan tries to advise her through Nadir that she should not press for more and be content with the nomads’ hospitality, but to no avail. While Farhana assumed that she was doing a favour to Kiran, the girl was quite restless and afraid</w:t>
      </w:r>
      <w:r w:rsidRPr="00580634">
        <w:rPr>
          <w:rFonts w:asciiTheme="majorBidi" w:hAnsiTheme="majorBidi" w:cstheme="majorBidi"/>
        </w:rPr>
        <w:t xml:space="preserve"> on board: though Kiran</w:t>
      </w:r>
      <w:r w:rsidRPr="00580634">
        <w:rPr>
          <w:rFonts w:asciiTheme="majorBidi" w:eastAsiaTheme="minorHAnsi" w:hAnsiTheme="majorBidi" w:cstheme="majorBidi"/>
          <w:lang w:eastAsia="en-US"/>
        </w:rPr>
        <w:t xml:space="preserve"> “was light but her disquiet was heavy” (Khan, </w:t>
      </w:r>
      <w:r w:rsidRPr="00580634">
        <w:rPr>
          <w:rFonts w:asciiTheme="majorBidi" w:eastAsiaTheme="minorHAnsi" w:hAnsiTheme="majorBidi" w:cstheme="majorBidi"/>
          <w:i/>
          <w:lang w:eastAsia="en-US"/>
        </w:rPr>
        <w:t xml:space="preserve">TTS </w:t>
      </w:r>
      <w:r w:rsidRPr="00580634">
        <w:rPr>
          <w:rFonts w:asciiTheme="majorBidi" w:eastAsiaTheme="minorHAnsi" w:hAnsiTheme="majorBidi" w:cstheme="majorBidi"/>
          <w:lang w:eastAsia="en-US"/>
        </w:rPr>
        <w:t xml:space="preserve">111). She was too perturbed to speak and simply shook her head when asked if she was enjoying boating. </w:t>
      </w:r>
      <w:r w:rsidRPr="00580634">
        <w:rPr>
          <w:rFonts w:asciiTheme="majorBidi" w:hAnsiTheme="majorBidi" w:cstheme="majorBidi"/>
        </w:rPr>
        <w:t>“</w:t>
      </w:r>
      <w:r w:rsidRPr="00580634">
        <w:rPr>
          <w:rFonts w:asciiTheme="majorBidi" w:eastAsiaTheme="minorHAnsi" w:hAnsiTheme="majorBidi" w:cstheme="majorBidi"/>
          <w:lang w:eastAsia="en-US"/>
        </w:rPr>
        <w:t xml:space="preserve">She sat hunkered in the boat as if in a cage” (Khan, </w:t>
      </w:r>
      <w:r w:rsidRPr="00580634">
        <w:rPr>
          <w:rFonts w:asciiTheme="majorBidi" w:eastAsiaTheme="minorHAnsi" w:hAnsiTheme="majorBidi" w:cstheme="majorBidi"/>
          <w:i/>
          <w:lang w:eastAsia="en-US"/>
        </w:rPr>
        <w:t xml:space="preserve">TTS </w:t>
      </w:r>
      <w:r w:rsidRPr="00580634">
        <w:rPr>
          <w:rFonts w:asciiTheme="majorBidi" w:eastAsiaTheme="minorHAnsi" w:hAnsiTheme="majorBidi" w:cstheme="majorBidi"/>
          <w:lang w:eastAsia="en-US"/>
        </w:rPr>
        <w:t xml:space="preserve">113). </w:t>
      </w:r>
      <w:r w:rsidRPr="00580634">
        <w:rPr>
          <w:rFonts w:asciiTheme="majorBidi" w:hAnsiTheme="majorBidi" w:cstheme="majorBidi"/>
        </w:rPr>
        <w:t xml:space="preserve">While Suleiman and the whole family plays the role of good host and does not refuse Farhana, the family experiences loss of the dear daughter. Kiran drowns: “the unreturned favour weighs especially heavily on impoverished communities” as they are treated as disposable entities without much opinion or desire (Nixon, </w:t>
      </w:r>
      <w:r w:rsidRPr="00580634">
        <w:rPr>
          <w:rFonts w:asciiTheme="majorBidi" w:hAnsiTheme="majorBidi" w:cstheme="majorBidi"/>
          <w:i/>
        </w:rPr>
        <w:t xml:space="preserve">SV </w:t>
      </w:r>
      <w:r w:rsidRPr="00580634">
        <w:rPr>
          <w:rFonts w:asciiTheme="majorBidi" w:hAnsiTheme="majorBidi" w:cstheme="majorBidi"/>
        </w:rPr>
        <w:t>36).</w:t>
      </w:r>
    </w:p>
    <w:p w14:paraId="20D49606" w14:textId="77777777" w:rsidR="0074709E" w:rsidRPr="00A678F1" w:rsidRDefault="009103BD" w:rsidP="00325FD5">
      <w:pPr>
        <w:autoSpaceDE w:val="0"/>
        <w:autoSpaceDN w:val="0"/>
        <w:adjustRightInd w:val="0"/>
        <w:jc w:val="both"/>
        <w:rPr>
          <w:rFonts w:asciiTheme="majorBidi" w:hAnsiTheme="majorBidi" w:cstheme="majorBidi"/>
          <w:b/>
          <w:bCs/>
          <w:i/>
        </w:rPr>
      </w:pPr>
      <w:r w:rsidRPr="00A678F1">
        <w:rPr>
          <w:rFonts w:asciiTheme="majorBidi" w:hAnsiTheme="majorBidi" w:cstheme="majorBidi"/>
          <w:b/>
          <w:bCs/>
          <w:i/>
        </w:rPr>
        <w:t xml:space="preserve">State-Supported Depredation </w:t>
      </w:r>
    </w:p>
    <w:p w14:paraId="168C1C87" w14:textId="77777777" w:rsidR="0074709E" w:rsidRPr="00580634" w:rsidRDefault="009103BD" w:rsidP="00325FD5">
      <w:pPr>
        <w:autoSpaceDE w:val="0"/>
        <w:autoSpaceDN w:val="0"/>
        <w:adjustRightInd w:val="0"/>
        <w:ind w:firstLine="720"/>
        <w:jc w:val="both"/>
        <w:rPr>
          <w:rFonts w:asciiTheme="majorBidi" w:hAnsiTheme="majorBidi" w:cstheme="majorBidi"/>
        </w:rPr>
      </w:pPr>
      <w:r w:rsidRPr="00580634">
        <w:rPr>
          <w:rFonts w:asciiTheme="majorBidi" w:hAnsiTheme="majorBidi" w:cstheme="majorBidi"/>
        </w:rPr>
        <w:t xml:space="preserve">The theory of slow violence states that “third-world governments are often joint partners in the regional plunder” (Nixon, </w:t>
      </w:r>
      <w:r w:rsidRPr="00580634">
        <w:rPr>
          <w:rFonts w:asciiTheme="majorBidi" w:hAnsiTheme="majorBidi" w:cstheme="majorBidi"/>
          <w:i/>
        </w:rPr>
        <w:t>SV</w:t>
      </w:r>
      <w:r w:rsidRPr="00580634">
        <w:rPr>
          <w:rFonts w:asciiTheme="majorBidi" w:hAnsiTheme="majorBidi" w:cstheme="majorBidi"/>
        </w:rPr>
        <w:t xml:space="preserve"> 119). Khan portrays that people and their environment face exploitation at the hands of the hegemonic overlords from the west as well as those from within the country. Pakistani government becomes an ally in GWOT and provides informative, </w:t>
      </w:r>
      <w:r w:rsidRPr="00580634">
        <w:rPr>
          <w:rFonts w:asciiTheme="majorBidi" w:hAnsiTheme="majorBidi" w:cstheme="majorBidi"/>
        </w:rPr>
        <w:lastRenderedPageBreak/>
        <w:t xml:space="preserve">spacial, and logistic support to the US. The US hegemony established by drone attacks would not have been possible without the state’s support as Irfan says to Wes, “Third-world military dictators are especially popular with free-world </w:t>
      </w:r>
      <w:r w:rsidRPr="00580634">
        <w:rPr>
          <w:rFonts w:asciiTheme="majorBidi" w:hAnsiTheme="majorBidi" w:cstheme="majorBidi"/>
          <w:i/>
        </w:rPr>
        <w:t>democracies</w:t>
      </w:r>
      <w:r w:rsidRPr="00580634">
        <w:rPr>
          <w:rFonts w:asciiTheme="majorBidi" w:hAnsiTheme="majorBidi" w:cstheme="majorBidi"/>
        </w:rPr>
        <w:t xml:space="preserve">” (Khan, </w:t>
      </w:r>
      <w:r w:rsidRPr="00580634">
        <w:rPr>
          <w:rFonts w:asciiTheme="majorBidi" w:hAnsiTheme="majorBidi" w:cstheme="majorBidi"/>
          <w:i/>
        </w:rPr>
        <w:t xml:space="preserve">TTS </w:t>
      </w:r>
      <w:r w:rsidRPr="00580634">
        <w:rPr>
          <w:rFonts w:asciiTheme="majorBidi" w:hAnsiTheme="majorBidi" w:cstheme="majorBidi"/>
        </w:rPr>
        <w:t xml:space="preserve">236). </w:t>
      </w:r>
      <w:r w:rsidRPr="00580634">
        <w:rPr>
          <w:rFonts w:asciiTheme="majorBidi" w:hAnsiTheme="majorBidi" w:cstheme="majorBidi"/>
          <w:bCs/>
        </w:rPr>
        <w:t xml:space="preserve">Pakistani government becomes an accomplice: the attack that killed thirty civilians was launched “by an American drone armed with missiles that were MALE, with Pakistan’s consent, from one of its airfields” (Khan, </w:t>
      </w:r>
      <w:r w:rsidRPr="00580634">
        <w:rPr>
          <w:rFonts w:asciiTheme="majorBidi" w:hAnsiTheme="majorBidi" w:cstheme="majorBidi"/>
          <w:bCs/>
          <w:i/>
        </w:rPr>
        <w:t>TTS</w:t>
      </w:r>
      <w:r w:rsidRPr="00580634">
        <w:rPr>
          <w:rFonts w:asciiTheme="majorBidi" w:hAnsiTheme="majorBidi" w:cstheme="majorBidi"/>
          <w:bCs/>
        </w:rPr>
        <w:t xml:space="preserve"> 206). </w:t>
      </w:r>
      <w:r w:rsidRPr="00580634">
        <w:rPr>
          <w:rFonts w:asciiTheme="majorBidi" w:hAnsiTheme="majorBidi" w:cstheme="majorBidi"/>
        </w:rPr>
        <w:t xml:space="preserve">Moreover, lives of the poor people are adversely affected by the menacing attitude and acts of police. </w:t>
      </w:r>
      <w:r w:rsidRPr="00580634">
        <w:rPr>
          <w:rFonts w:asciiTheme="majorBidi" w:eastAsiaTheme="minorHAnsi" w:hAnsiTheme="majorBidi" w:cstheme="majorBidi"/>
          <w:lang w:eastAsia="en-US"/>
        </w:rPr>
        <w:t xml:space="preserve">Instead of getting any protection from the police, people wish to be protected from them. Policemen come to Maryam’s home under different pretexts and are pacified each time when offered tea, butter, honey and bread. They are fellow conspirators in smuggling of timber and “lived in the forest department’s pockets” (Khan, </w:t>
      </w:r>
      <w:r w:rsidRPr="00580634">
        <w:rPr>
          <w:rFonts w:asciiTheme="majorBidi" w:eastAsiaTheme="minorHAnsi" w:hAnsiTheme="majorBidi" w:cstheme="majorBidi"/>
          <w:i/>
          <w:lang w:eastAsia="en-US"/>
        </w:rPr>
        <w:t xml:space="preserve">TTS </w:t>
      </w:r>
      <w:r w:rsidRPr="00580634">
        <w:rPr>
          <w:rFonts w:asciiTheme="majorBidi" w:eastAsiaTheme="minorHAnsi" w:hAnsiTheme="majorBidi" w:cstheme="majorBidi"/>
          <w:lang w:eastAsia="en-US"/>
        </w:rPr>
        <w:t xml:space="preserve">199-200). </w:t>
      </w:r>
      <w:r w:rsidRPr="00580634">
        <w:rPr>
          <w:rFonts w:asciiTheme="majorBidi" w:hAnsiTheme="majorBidi" w:cstheme="majorBidi"/>
        </w:rPr>
        <w:t>Forest department along with revenue department adds to the misery of the herders who are subjected to heavy fines and even confiscations. The r</w:t>
      </w:r>
      <w:r w:rsidRPr="00580634">
        <w:rPr>
          <w:rFonts w:asciiTheme="majorBidi" w:eastAsiaTheme="minorHAnsi" w:hAnsiTheme="majorBidi" w:cstheme="majorBidi"/>
          <w:lang w:eastAsia="en-US"/>
        </w:rPr>
        <w:t xml:space="preserve">evenue department demanded taxes for each new goat or buffalo that was born. </w:t>
      </w:r>
      <w:r w:rsidRPr="00580634">
        <w:rPr>
          <w:rFonts w:asciiTheme="majorBidi" w:hAnsiTheme="majorBidi" w:cstheme="majorBidi"/>
        </w:rPr>
        <w:t xml:space="preserve">The forest inspector charged Maryam blaming that her flock has ripped apart the whole field. It was a false accusation to get income by using his official position because actually only one sheep had nibbled a stalk or two while the field was quite at a distance. </w:t>
      </w:r>
      <w:r w:rsidRPr="00580634">
        <w:rPr>
          <w:rFonts w:asciiTheme="majorBidi" w:eastAsiaTheme="minorHAnsi" w:hAnsiTheme="majorBidi" w:cstheme="majorBidi"/>
          <w:lang w:eastAsia="en-US"/>
        </w:rPr>
        <w:t xml:space="preserve">The forest department is the major collaborator in deforestation; it first “leashed the forest and then leased it” (Khan, </w:t>
      </w:r>
      <w:r w:rsidRPr="00580634">
        <w:rPr>
          <w:rFonts w:asciiTheme="majorBidi" w:hAnsiTheme="majorBidi" w:cstheme="majorBidi"/>
          <w:i/>
        </w:rPr>
        <w:t>TTS</w:t>
      </w:r>
      <w:r w:rsidRPr="00580634">
        <w:rPr>
          <w:rFonts w:asciiTheme="majorBidi" w:hAnsiTheme="majorBidi" w:cstheme="majorBidi"/>
        </w:rPr>
        <w:t xml:space="preserve"> </w:t>
      </w:r>
      <w:r w:rsidRPr="00580634">
        <w:rPr>
          <w:rFonts w:asciiTheme="majorBidi" w:eastAsiaTheme="minorHAnsi" w:hAnsiTheme="majorBidi" w:cstheme="majorBidi"/>
          <w:lang w:eastAsia="en-US"/>
        </w:rPr>
        <w:t xml:space="preserve">199). The </w:t>
      </w:r>
      <w:r w:rsidRPr="00580634">
        <w:rPr>
          <w:rFonts w:asciiTheme="majorBidi" w:hAnsiTheme="majorBidi" w:cstheme="majorBidi"/>
        </w:rPr>
        <w:t xml:space="preserve">role of the forest inspector in exploiting the poor people and their resources is explicit as Khan tells that “the same inspector grew fat each time the forest was torn down” (Khan, </w:t>
      </w:r>
      <w:r w:rsidRPr="00580634">
        <w:rPr>
          <w:rFonts w:asciiTheme="majorBidi" w:hAnsiTheme="majorBidi" w:cstheme="majorBidi"/>
          <w:i/>
        </w:rPr>
        <w:t>TTS</w:t>
      </w:r>
      <w:r w:rsidRPr="00580634">
        <w:rPr>
          <w:rFonts w:asciiTheme="majorBidi" w:eastAsiaTheme="minorHAnsi" w:hAnsiTheme="majorBidi" w:cstheme="majorBidi"/>
          <w:lang w:eastAsia="en-US"/>
        </w:rPr>
        <w:t xml:space="preserve"> 217).</w:t>
      </w:r>
      <w:r w:rsidRPr="00580634">
        <w:rPr>
          <w:rFonts w:asciiTheme="majorBidi" w:hAnsiTheme="majorBidi" w:cstheme="majorBidi"/>
        </w:rPr>
        <w:t xml:space="preserve"> </w:t>
      </w:r>
    </w:p>
    <w:p w14:paraId="182F314D" w14:textId="77777777" w:rsidR="0074709E" w:rsidRPr="00580634" w:rsidRDefault="009103BD" w:rsidP="00325FD5">
      <w:pPr>
        <w:autoSpaceDE w:val="0"/>
        <w:autoSpaceDN w:val="0"/>
        <w:adjustRightInd w:val="0"/>
        <w:ind w:firstLine="720"/>
        <w:jc w:val="both"/>
        <w:rPr>
          <w:rFonts w:asciiTheme="majorBidi" w:eastAsiaTheme="minorHAnsi" w:hAnsiTheme="majorBidi" w:cstheme="majorBidi"/>
          <w:lang w:eastAsia="en-US"/>
        </w:rPr>
      </w:pPr>
      <w:r w:rsidRPr="00580634">
        <w:rPr>
          <w:rFonts w:asciiTheme="majorBidi" w:hAnsiTheme="majorBidi" w:cstheme="majorBidi"/>
        </w:rPr>
        <w:t xml:space="preserve">Apart from the state institutions like military, police and forest department, there are other groups that play the role of shadowy overlords in the lives of the native people. Timber mafia has strong hold and works in secret collaboration with the forest department. </w:t>
      </w:r>
      <w:r w:rsidRPr="00580634">
        <w:rPr>
          <w:rFonts w:asciiTheme="majorBidi" w:eastAsiaTheme="minorHAnsi" w:hAnsiTheme="majorBidi" w:cstheme="majorBidi"/>
          <w:lang w:eastAsia="en-US"/>
        </w:rPr>
        <w:t xml:space="preserve">The religious preachers with their red pom-poms are not very different from the soldier, policeman, tax collector or the forest inspector in that their preaching is directly linked with their hunger: “the more the preached, the hungrier they grew” (Khan, </w:t>
      </w:r>
      <w:r w:rsidRPr="00580634">
        <w:rPr>
          <w:rFonts w:asciiTheme="majorBidi" w:eastAsiaTheme="minorHAnsi" w:hAnsiTheme="majorBidi" w:cstheme="majorBidi"/>
          <w:i/>
          <w:lang w:eastAsia="en-US"/>
        </w:rPr>
        <w:t>TTS</w:t>
      </w:r>
      <w:r w:rsidRPr="00580634">
        <w:rPr>
          <w:rFonts w:asciiTheme="majorBidi" w:eastAsiaTheme="minorHAnsi" w:hAnsiTheme="majorBidi" w:cstheme="majorBidi"/>
          <w:lang w:eastAsia="en-US"/>
        </w:rPr>
        <w:t xml:space="preserve"> 260).</w:t>
      </w:r>
    </w:p>
    <w:p w14:paraId="65830AAC" w14:textId="77777777" w:rsidR="0074709E" w:rsidRPr="00580634" w:rsidRDefault="009103BD" w:rsidP="004E595F">
      <w:pPr>
        <w:autoSpaceDE w:val="0"/>
        <w:autoSpaceDN w:val="0"/>
        <w:adjustRightInd w:val="0"/>
        <w:jc w:val="both"/>
        <w:rPr>
          <w:rFonts w:asciiTheme="majorBidi" w:eastAsiaTheme="minorHAnsi" w:hAnsiTheme="majorBidi" w:cstheme="majorBidi"/>
          <w:lang w:eastAsia="en-US"/>
        </w:rPr>
      </w:pPr>
      <w:r w:rsidRPr="00A678F1">
        <w:rPr>
          <w:rFonts w:asciiTheme="majorBidi" w:eastAsiaTheme="minorHAnsi" w:hAnsiTheme="majorBidi" w:cstheme="majorBidi"/>
          <w:b/>
          <w:bCs/>
          <w:i/>
          <w:lang w:eastAsia="en-US"/>
        </w:rPr>
        <w:t>Hegemonic Overlords as Collaborators</w:t>
      </w:r>
    </w:p>
    <w:p w14:paraId="6F3D4F0F" w14:textId="77777777" w:rsidR="0074709E" w:rsidRPr="00580634" w:rsidRDefault="009103BD" w:rsidP="00325FD5">
      <w:pPr>
        <w:autoSpaceDE w:val="0"/>
        <w:autoSpaceDN w:val="0"/>
        <w:adjustRightInd w:val="0"/>
        <w:ind w:firstLine="720"/>
        <w:jc w:val="both"/>
        <w:rPr>
          <w:rFonts w:asciiTheme="majorBidi" w:hAnsiTheme="majorBidi" w:cstheme="majorBidi"/>
          <w:color w:val="000000"/>
        </w:rPr>
      </w:pPr>
      <w:r w:rsidRPr="00580634">
        <w:rPr>
          <w:rFonts w:asciiTheme="majorBidi" w:eastAsiaTheme="minorHAnsi" w:hAnsiTheme="majorBidi" w:cstheme="majorBidi"/>
          <w:lang w:eastAsia="en-US"/>
        </w:rPr>
        <w:lastRenderedPageBreak/>
        <w:t xml:space="preserve">In spite of the convoys being everywhere, militants and their training camps keep flourishing. And in spite of the police and forest department, timber mafia remains strong. Ghafoor thinks it out and says, “Each and every one of them slept in two beds: the mafia with the government, the militants with the mafia, the government with the militants” (Khan, </w:t>
      </w:r>
      <w:r w:rsidRPr="00580634">
        <w:rPr>
          <w:rFonts w:asciiTheme="majorBidi" w:eastAsiaTheme="minorHAnsi" w:hAnsiTheme="majorBidi" w:cstheme="majorBidi"/>
          <w:i/>
          <w:lang w:eastAsia="en-US"/>
        </w:rPr>
        <w:t>TTS</w:t>
      </w:r>
      <w:r w:rsidRPr="00580634">
        <w:rPr>
          <w:rFonts w:asciiTheme="majorBidi" w:eastAsiaTheme="minorHAnsi" w:hAnsiTheme="majorBidi" w:cstheme="majorBidi"/>
          <w:lang w:eastAsia="en-US"/>
        </w:rPr>
        <w:t xml:space="preserve"> 211). It is not without any logic that the trees near the forest officer’s home remain untouched while those at distance are logged by the timber mafia. The officials of the forest and revenue department, the policemen, the militants, the soldiers and the religious preachers all have one thing in common, that they can be placated with ghee, sugar, bread, honey and such resources that Maryam had saved for her family members. Thus, Maryam reflects that “Perhaps they were all in each other’s pockets…  Perhaps they were all exactly the same” (Khan, </w:t>
      </w:r>
      <w:r w:rsidRPr="00580634">
        <w:rPr>
          <w:rFonts w:asciiTheme="majorBidi" w:eastAsiaTheme="minorHAnsi" w:hAnsiTheme="majorBidi" w:cstheme="majorBidi"/>
          <w:i/>
          <w:lang w:eastAsia="en-US"/>
        </w:rPr>
        <w:t>TTS</w:t>
      </w:r>
      <w:r w:rsidRPr="00580634">
        <w:rPr>
          <w:rFonts w:asciiTheme="majorBidi" w:eastAsiaTheme="minorHAnsi" w:hAnsiTheme="majorBidi" w:cstheme="majorBidi"/>
          <w:lang w:eastAsia="en-US"/>
        </w:rPr>
        <w:t xml:space="preserve"> 200). Hence, </w:t>
      </w:r>
      <w:r w:rsidRPr="00580634">
        <w:rPr>
          <w:rFonts w:asciiTheme="majorBidi" w:hAnsiTheme="majorBidi" w:cstheme="majorBidi"/>
        </w:rPr>
        <w:t>Khan portrays intersecting systems of oppression and helps the readers interrogate “</w:t>
      </w:r>
      <w:r w:rsidRPr="00580634">
        <w:rPr>
          <w:rFonts w:asciiTheme="majorBidi" w:eastAsiaTheme="minorHAnsi" w:hAnsiTheme="majorBidi" w:cstheme="majorBidi"/>
          <w:lang w:eastAsia="en-US"/>
        </w:rPr>
        <w:t>the ways that states constitute regulatory regimes of identity</w:t>
      </w:r>
      <w:r w:rsidRPr="00580634">
        <w:rPr>
          <w:rFonts w:asciiTheme="majorBidi" w:hAnsiTheme="majorBidi" w:cstheme="majorBidi"/>
          <w:color w:val="000000"/>
        </w:rPr>
        <w:t>” (Cho et al 785).</w:t>
      </w:r>
    </w:p>
    <w:p w14:paraId="1E0EE5D7" w14:textId="77777777" w:rsidR="0074709E" w:rsidRPr="00580634" w:rsidRDefault="0074709E" w:rsidP="00325FD5">
      <w:pPr>
        <w:autoSpaceDE w:val="0"/>
        <w:autoSpaceDN w:val="0"/>
        <w:adjustRightInd w:val="0"/>
        <w:ind w:firstLine="720"/>
        <w:jc w:val="both"/>
        <w:rPr>
          <w:rFonts w:asciiTheme="majorBidi" w:eastAsiaTheme="minorHAnsi" w:hAnsiTheme="majorBidi" w:cstheme="majorBidi"/>
          <w:lang w:eastAsia="en-US"/>
        </w:rPr>
      </w:pPr>
    </w:p>
    <w:p w14:paraId="3C943874" w14:textId="77777777" w:rsidR="0074709E" w:rsidRPr="00580634" w:rsidRDefault="009103BD" w:rsidP="004E595F">
      <w:pPr>
        <w:jc w:val="both"/>
        <w:rPr>
          <w:rFonts w:asciiTheme="majorBidi" w:hAnsiTheme="majorBidi" w:cstheme="majorBidi"/>
        </w:rPr>
      </w:pPr>
      <w:r w:rsidRPr="00A678F1">
        <w:rPr>
          <w:rFonts w:asciiTheme="majorBidi" w:hAnsiTheme="majorBidi" w:cstheme="majorBidi"/>
          <w:b/>
          <w:bCs/>
        </w:rPr>
        <w:t xml:space="preserve">Climate Vulnerabilities and Attritional Slow Violence </w:t>
      </w:r>
    </w:p>
    <w:p w14:paraId="1D46A1B2" w14:textId="77777777" w:rsidR="0074709E" w:rsidRPr="00580634" w:rsidRDefault="009103BD" w:rsidP="00325FD5">
      <w:pPr>
        <w:autoSpaceDE w:val="0"/>
        <w:autoSpaceDN w:val="0"/>
        <w:adjustRightInd w:val="0"/>
        <w:ind w:firstLine="720"/>
        <w:jc w:val="both"/>
        <w:rPr>
          <w:rFonts w:asciiTheme="majorBidi" w:hAnsiTheme="majorBidi" w:cstheme="majorBidi"/>
        </w:rPr>
      </w:pPr>
      <w:r w:rsidRPr="00580634">
        <w:rPr>
          <w:rFonts w:asciiTheme="majorBidi" w:hAnsiTheme="majorBidi" w:cstheme="majorBidi"/>
        </w:rPr>
        <w:t>Theory of slow violence envisions human disposability as conjoined with ecological disposability by synthesizing environmental degradation with social and political suppression of the poor. Injustice to the poor ecosystem people leads them to climate vulnerabilities and hence cannot be separated from the injustice to their land and its resources. ‘Ecosystem people’ is a term used by Nixon for “those hundreds of millions who depend for their livelihood on modest resource catchment areas at the opposite extreme from the planetary resource catchment areas plundered by the wealthy” (</w:t>
      </w:r>
      <w:r w:rsidRPr="00580634">
        <w:rPr>
          <w:rFonts w:asciiTheme="majorBidi" w:hAnsiTheme="majorBidi" w:cstheme="majorBidi"/>
          <w:i/>
        </w:rPr>
        <w:t>SV</w:t>
      </w:r>
      <w:r w:rsidRPr="00580634">
        <w:rPr>
          <w:rFonts w:asciiTheme="majorBidi" w:hAnsiTheme="majorBidi" w:cstheme="majorBidi"/>
        </w:rPr>
        <w:t xml:space="preserve"> 22). In </w:t>
      </w:r>
      <w:r w:rsidRPr="00580634">
        <w:rPr>
          <w:rFonts w:asciiTheme="majorBidi" w:hAnsiTheme="majorBidi" w:cstheme="majorBidi"/>
          <w:i/>
        </w:rPr>
        <w:t>TTS</w:t>
      </w:r>
      <w:r w:rsidRPr="00580634">
        <w:rPr>
          <w:rFonts w:asciiTheme="majorBidi" w:hAnsiTheme="majorBidi" w:cstheme="majorBidi"/>
        </w:rPr>
        <w:t xml:space="preserve"> Maryam stands for </w:t>
      </w:r>
    </w:p>
    <w:p w14:paraId="39B5DE31" w14:textId="77777777" w:rsidR="0074709E" w:rsidRPr="00580634" w:rsidRDefault="009103BD" w:rsidP="00325FD5">
      <w:pPr>
        <w:autoSpaceDE w:val="0"/>
        <w:autoSpaceDN w:val="0"/>
        <w:adjustRightInd w:val="0"/>
        <w:jc w:val="both"/>
        <w:rPr>
          <w:rFonts w:asciiTheme="majorBidi" w:hAnsiTheme="majorBidi" w:cstheme="majorBidi"/>
        </w:rPr>
      </w:pPr>
      <w:r w:rsidRPr="00580634">
        <w:rPr>
          <w:rFonts w:asciiTheme="majorBidi" w:hAnsiTheme="majorBidi" w:cstheme="majorBidi"/>
        </w:rPr>
        <w:t xml:space="preserve">ecosystem people who suffer in the face of “ecological and human disposability” (Nixon, </w:t>
      </w:r>
      <w:r w:rsidRPr="00580634">
        <w:rPr>
          <w:rFonts w:asciiTheme="majorBidi" w:hAnsiTheme="majorBidi" w:cstheme="majorBidi"/>
          <w:i/>
        </w:rPr>
        <w:t>SV</w:t>
      </w:r>
      <w:r w:rsidRPr="00580634">
        <w:rPr>
          <w:rFonts w:asciiTheme="majorBidi" w:hAnsiTheme="majorBidi" w:cstheme="majorBidi"/>
        </w:rPr>
        <w:t xml:space="preserve"> 4). </w:t>
      </w:r>
    </w:p>
    <w:p w14:paraId="1119BDF1" w14:textId="77777777" w:rsidR="0074709E" w:rsidRPr="00A678F1" w:rsidRDefault="009103BD" w:rsidP="00325FD5">
      <w:pPr>
        <w:jc w:val="both"/>
        <w:rPr>
          <w:rFonts w:asciiTheme="majorBidi" w:hAnsiTheme="majorBidi" w:cstheme="majorBidi"/>
          <w:b/>
          <w:bCs/>
          <w:i/>
        </w:rPr>
      </w:pPr>
      <w:r w:rsidRPr="00A678F1">
        <w:rPr>
          <w:rFonts w:asciiTheme="majorBidi" w:hAnsiTheme="majorBidi" w:cstheme="majorBidi"/>
          <w:b/>
          <w:bCs/>
          <w:i/>
        </w:rPr>
        <w:t>Herders Facing Climate Vulnerabilities</w:t>
      </w:r>
    </w:p>
    <w:p w14:paraId="23988C9C" w14:textId="77777777" w:rsidR="0074709E" w:rsidRPr="00580634" w:rsidRDefault="009103BD" w:rsidP="00325FD5">
      <w:pPr>
        <w:ind w:firstLine="720"/>
        <w:jc w:val="both"/>
        <w:rPr>
          <w:rFonts w:asciiTheme="majorBidi" w:hAnsiTheme="majorBidi" w:cstheme="majorBidi"/>
        </w:rPr>
      </w:pPr>
      <w:r w:rsidRPr="00580634">
        <w:rPr>
          <w:rFonts w:asciiTheme="majorBidi" w:hAnsiTheme="majorBidi" w:cstheme="majorBidi"/>
        </w:rPr>
        <w:t xml:space="preserve">The migratory life of the steppe nomads in </w:t>
      </w:r>
      <w:r w:rsidRPr="00580634">
        <w:rPr>
          <w:rFonts w:asciiTheme="majorBidi" w:hAnsiTheme="majorBidi" w:cstheme="majorBidi"/>
          <w:i/>
        </w:rPr>
        <w:t>TTS</w:t>
      </w:r>
      <w:r w:rsidRPr="00580634">
        <w:rPr>
          <w:rFonts w:asciiTheme="majorBidi" w:hAnsiTheme="majorBidi" w:cstheme="majorBidi"/>
        </w:rPr>
        <w:t xml:space="preserve"> generally, and Maryam specifically, is deeply affected by slow violence because their living is “vulnerable to the processes of ecological deterioration” (Tucker 40). The depletion of grazing grounds and resources is an attritional process which is an outcome of the state policies. These herders are the ecosystem people who </w:t>
      </w:r>
      <w:r w:rsidRPr="00580634">
        <w:rPr>
          <w:rFonts w:asciiTheme="majorBidi" w:hAnsiTheme="majorBidi" w:cstheme="majorBidi"/>
        </w:rPr>
        <w:lastRenderedPageBreak/>
        <w:t xml:space="preserve">“lived according to the cycles of nature” but the disruption of these cycles causes climate vulnerabilities (Khan, </w:t>
      </w:r>
      <w:r w:rsidRPr="00580634">
        <w:rPr>
          <w:rFonts w:asciiTheme="majorBidi" w:hAnsiTheme="majorBidi" w:cstheme="majorBidi"/>
          <w:i/>
        </w:rPr>
        <w:t>TTS</w:t>
      </w:r>
      <w:r w:rsidRPr="00580634">
        <w:rPr>
          <w:rFonts w:asciiTheme="majorBidi" w:hAnsiTheme="majorBidi" w:cstheme="majorBidi"/>
        </w:rPr>
        <w:t xml:space="preserve"> 219).  When there were no restrictions on grazing lands, Maryam’s ancestors moved with their cattle and goods “from one pasture to the next so a field was never overgrazed” (Khan, </w:t>
      </w:r>
      <w:r w:rsidRPr="00580634">
        <w:rPr>
          <w:rFonts w:asciiTheme="majorBidi" w:hAnsiTheme="majorBidi" w:cstheme="majorBidi"/>
          <w:i/>
        </w:rPr>
        <w:t>TTS</w:t>
      </w:r>
      <w:r w:rsidRPr="00580634">
        <w:rPr>
          <w:rFonts w:asciiTheme="majorBidi" w:hAnsiTheme="majorBidi" w:cstheme="majorBidi"/>
        </w:rPr>
        <w:t xml:space="preserve"> 219). Under the colonial rule by the British the Forest Law of 1878 was passed which authorised the government to be “the ultimate owner of all land not held individually” (Tucker 41). Khan documents this colonial impact “The British colonized your lands and instituted a forest policy for their greedy pockets!” (Khan, </w:t>
      </w:r>
      <w:r w:rsidRPr="00580634">
        <w:rPr>
          <w:rFonts w:asciiTheme="majorBidi" w:hAnsiTheme="majorBidi" w:cstheme="majorBidi"/>
          <w:i/>
        </w:rPr>
        <w:t>TTS</w:t>
      </w:r>
      <w:r w:rsidRPr="00580634">
        <w:rPr>
          <w:rFonts w:asciiTheme="majorBidi" w:hAnsiTheme="majorBidi" w:cstheme="majorBidi"/>
        </w:rPr>
        <w:t xml:space="preserve"> 259). The turning of free grazing lands into state farms is what Nixon terms as turning of vernacular landscape into official landscape. This deprivation from grazing land meant restrictions, no-go areas and barbed wires where poor herders and their cattle could not enter. </w:t>
      </w:r>
    </w:p>
    <w:p w14:paraId="2E571025" w14:textId="77777777" w:rsidR="0074709E" w:rsidRPr="00580634" w:rsidRDefault="009103BD" w:rsidP="00325FD5">
      <w:pPr>
        <w:ind w:firstLine="720"/>
        <w:jc w:val="both"/>
        <w:rPr>
          <w:rFonts w:asciiTheme="majorBidi" w:hAnsiTheme="majorBidi" w:cstheme="majorBidi"/>
        </w:rPr>
      </w:pPr>
      <w:r w:rsidRPr="00580634">
        <w:rPr>
          <w:rFonts w:asciiTheme="majorBidi" w:hAnsiTheme="majorBidi" w:cstheme="majorBidi"/>
        </w:rPr>
        <w:t xml:space="preserve">Hence, for Maryam and her family the “weight of caution” is so dominant now that their migratory “motion had no rhythm” (Khan, </w:t>
      </w:r>
      <w:r w:rsidRPr="00580634">
        <w:rPr>
          <w:rFonts w:asciiTheme="majorBidi" w:hAnsiTheme="majorBidi" w:cstheme="majorBidi"/>
          <w:i/>
        </w:rPr>
        <w:t>TTS</w:t>
      </w:r>
      <w:r w:rsidRPr="00580634">
        <w:rPr>
          <w:rFonts w:asciiTheme="majorBidi" w:hAnsiTheme="majorBidi" w:cstheme="majorBidi"/>
        </w:rPr>
        <w:t xml:space="preserve"> 199). Because of grazing restrictions, herders are bound to use limited areas which get overgrazed.  “An intricate relationship between forest depletion and overgrazing” leads to incrementing climate vulnerability (Tucker 42). The damage caused by this slow violence had far reaching impact upon the lives of this ethnic minority that they started leaving their nature-friendly way of living and “increasingly succumbed to the pressures to settle more” and became cultivators, miners, army recruits, traders, merchants etc (Khan, </w:t>
      </w:r>
      <w:r w:rsidRPr="00580634">
        <w:rPr>
          <w:rFonts w:asciiTheme="majorBidi" w:hAnsiTheme="majorBidi" w:cstheme="majorBidi"/>
          <w:i/>
        </w:rPr>
        <w:t>TTS</w:t>
      </w:r>
      <w:r w:rsidRPr="00580634">
        <w:rPr>
          <w:rFonts w:asciiTheme="majorBidi" w:hAnsiTheme="majorBidi" w:cstheme="majorBidi"/>
        </w:rPr>
        <w:t xml:space="preserve"> 219-20). Likewise, in the novel Maryam’s son Younis wants to be a trader and not “a mere herder” (</w:t>
      </w:r>
      <w:r w:rsidRPr="00580634">
        <w:rPr>
          <w:rFonts w:asciiTheme="majorBidi" w:hAnsiTheme="majorBidi" w:cstheme="majorBidi"/>
          <w:i/>
        </w:rPr>
        <w:t>TTS</w:t>
      </w:r>
      <w:r w:rsidRPr="00580634">
        <w:rPr>
          <w:rFonts w:asciiTheme="majorBidi" w:hAnsiTheme="majorBidi" w:cstheme="majorBidi"/>
        </w:rPr>
        <w:t xml:space="preserve"> 300). Hence slow violence, though apparently imperceptible, becomes “a major threat multiplier” that increasingly degrades the conditions for sustenance (Nixon, </w:t>
      </w:r>
      <w:r w:rsidRPr="00580634">
        <w:rPr>
          <w:rFonts w:asciiTheme="majorBidi" w:hAnsiTheme="majorBidi" w:cstheme="majorBidi"/>
          <w:i/>
        </w:rPr>
        <w:t>SV</w:t>
      </w:r>
      <w:r w:rsidRPr="00580634">
        <w:rPr>
          <w:rFonts w:asciiTheme="majorBidi" w:hAnsiTheme="majorBidi" w:cstheme="majorBidi"/>
        </w:rPr>
        <w:t xml:space="preserve"> 3). </w:t>
      </w:r>
    </w:p>
    <w:p w14:paraId="5D131C41" w14:textId="77777777" w:rsidR="0074709E" w:rsidRPr="00A678F1" w:rsidRDefault="009103BD" w:rsidP="00325FD5">
      <w:pPr>
        <w:jc w:val="both"/>
        <w:rPr>
          <w:rFonts w:asciiTheme="majorBidi" w:hAnsiTheme="majorBidi" w:cstheme="majorBidi"/>
          <w:b/>
          <w:bCs/>
          <w:i/>
        </w:rPr>
      </w:pPr>
      <w:r w:rsidRPr="00A678F1">
        <w:rPr>
          <w:rFonts w:asciiTheme="majorBidi" w:hAnsiTheme="majorBidi" w:cstheme="majorBidi"/>
          <w:b/>
          <w:bCs/>
          <w:i/>
        </w:rPr>
        <w:t>Loss of Biodiversity – Staggeringly Discounted Casualties</w:t>
      </w:r>
    </w:p>
    <w:p w14:paraId="412FC806" w14:textId="77777777" w:rsidR="0074709E" w:rsidRPr="00580634" w:rsidRDefault="009103BD" w:rsidP="00325FD5">
      <w:pPr>
        <w:autoSpaceDE w:val="0"/>
        <w:autoSpaceDN w:val="0"/>
        <w:adjustRightInd w:val="0"/>
        <w:ind w:firstLine="720"/>
        <w:jc w:val="both"/>
        <w:rPr>
          <w:rFonts w:asciiTheme="majorBidi" w:hAnsiTheme="majorBidi" w:cstheme="majorBidi"/>
        </w:rPr>
      </w:pPr>
      <w:r w:rsidRPr="00580634">
        <w:rPr>
          <w:rFonts w:asciiTheme="majorBidi" w:hAnsiTheme="majorBidi" w:cstheme="majorBidi"/>
        </w:rPr>
        <w:t xml:space="preserve">Maryam is one of the ecosystem people who depend for livelihood on modest resources; but resources become more and more scarce due to attritional and incremental nature of slow violence. She is pitted against climate vulnerabilities with each passing day. For instance, their thin desi kind of sheep were replaced by “the stupid sheep… the fat Australian ones the government tricked them into buying” so as to get more meat and wool (Khan, </w:t>
      </w:r>
      <w:r w:rsidRPr="00580634">
        <w:rPr>
          <w:rFonts w:asciiTheme="majorBidi" w:hAnsiTheme="majorBidi" w:cstheme="majorBidi"/>
          <w:i/>
        </w:rPr>
        <w:t>TTS</w:t>
      </w:r>
      <w:r w:rsidRPr="00580634">
        <w:rPr>
          <w:rFonts w:asciiTheme="majorBidi" w:hAnsiTheme="majorBidi" w:cstheme="majorBidi"/>
        </w:rPr>
        <w:t xml:space="preserve"> 3). Although initially it seemed a good choice, but after a year they realized “that fat foreign sheep were not as strong as thin desi sheep” </w:t>
      </w:r>
      <w:r w:rsidRPr="00580634">
        <w:rPr>
          <w:rFonts w:asciiTheme="majorBidi" w:hAnsiTheme="majorBidi" w:cstheme="majorBidi"/>
        </w:rPr>
        <w:lastRenderedPageBreak/>
        <w:t xml:space="preserve">(Khan, </w:t>
      </w:r>
      <w:r w:rsidRPr="00580634">
        <w:rPr>
          <w:rFonts w:asciiTheme="majorBidi" w:hAnsiTheme="majorBidi" w:cstheme="majorBidi"/>
          <w:i/>
        </w:rPr>
        <w:t xml:space="preserve">TTS </w:t>
      </w:r>
      <w:r w:rsidRPr="00580634">
        <w:rPr>
          <w:rFonts w:asciiTheme="majorBidi" w:hAnsiTheme="majorBidi" w:cstheme="majorBidi"/>
        </w:rPr>
        <w:t xml:space="preserve">195). They were too lazy to move much, could not survive the cold climate of Kaghan, were fussy eaters, and their wool was of low quality. This state interference in the form of “urban exclusionary practices” is a kind of neocolonization that forces these ecosystem people to get a foreign breed of cattle only for their loss (Chakraborty et al 2). </w:t>
      </w:r>
    </w:p>
    <w:p w14:paraId="611962EC" w14:textId="77777777" w:rsidR="0074709E" w:rsidRPr="00580634" w:rsidRDefault="009103BD" w:rsidP="00325FD5">
      <w:pPr>
        <w:autoSpaceDE w:val="0"/>
        <w:autoSpaceDN w:val="0"/>
        <w:adjustRightInd w:val="0"/>
        <w:ind w:firstLine="720"/>
        <w:jc w:val="both"/>
        <w:rPr>
          <w:rFonts w:asciiTheme="majorBidi" w:hAnsiTheme="majorBidi" w:cstheme="majorBidi"/>
        </w:rPr>
      </w:pPr>
      <w:r w:rsidRPr="00580634">
        <w:rPr>
          <w:rFonts w:asciiTheme="majorBidi" w:hAnsiTheme="majorBidi" w:cstheme="majorBidi"/>
        </w:rPr>
        <w:t xml:space="preserve">“Even their goats were meddled with” as the government compelled them to buy new breed instead of “the sturdy Kaghani goats and the fierce Kilani goats” (Khan, </w:t>
      </w:r>
      <w:r w:rsidRPr="00580634">
        <w:rPr>
          <w:rFonts w:asciiTheme="majorBidi" w:hAnsiTheme="majorBidi" w:cstheme="majorBidi"/>
          <w:i/>
        </w:rPr>
        <w:t>TTS</w:t>
      </w:r>
      <w:r w:rsidRPr="00580634">
        <w:rPr>
          <w:rFonts w:asciiTheme="majorBidi" w:hAnsiTheme="majorBidi" w:cstheme="majorBidi"/>
        </w:rPr>
        <w:t xml:space="preserve"> 196). This new breed ate almost all the feed and so indigenous breeds were left to starve. Hence, Maryam’s family is left with only three Kaghani goats. Their dogs are poisoned by the “men in tanks and spies in plainclothes” (Khan, </w:t>
      </w:r>
      <w:r w:rsidRPr="00580634">
        <w:rPr>
          <w:rFonts w:asciiTheme="majorBidi" w:hAnsiTheme="majorBidi" w:cstheme="majorBidi"/>
          <w:i/>
        </w:rPr>
        <w:t>TTS</w:t>
      </w:r>
      <w:r w:rsidRPr="00580634">
        <w:rPr>
          <w:rFonts w:asciiTheme="majorBidi" w:hAnsiTheme="majorBidi" w:cstheme="majorBidi"/>
        </w:rPr>
        <w:t xml:space="preserve"> 199). Like the sheep and the goats, different breeds of horses are also getting extinct: the Nukra, Bharssi, and Yarkandi breeds that were there in Maryam’s parents’ time have by now become extinct. She fears that, given the circumstances, “by the time Kiran was her age, the Kaliani breed too might be extinct” (Khan, </w:t>
      </w:r>
      <w:r w:rsidRPr="00580634">
        <w:rPr>
          <w:rFonts w:asciiTheme="majorBidi" w:hAnsiTheme="majorBidi" w:cstheme="majorBidi"/>
          <w:i/>
        </w:rPr>
        <w:t>TTS</w:t>
      </w:r>
      <w:r w:rsidRPr="00580634">
        <w:rPr>
          <w:rFonts w:asciiTheme="majorBidi" w:hAnsiTheme="majorBidi" w:cstheme="majorBidi"/>
        </w:rPr>
        <w:t xml:space="preserve"> 212). This loss of valuable breeds of sheep, goats, and horses intensifies the climate vulnerabilities to such a height that risks “are outsourced to the unborn” (Nixon, </w:t>
      </w:r>
      <w:r w:rsidRPr="00580634">
        <w:rPr>
          <w:rFonts w:asciiTheme="majorBidi" w:hAnsiTheme="majorBidi" w:cstheme="majorBidi"/>
          <w:i/>
        </w:rPr>
        <w:t>SV</w:t>
      </w:r>
      <w:r w:rsidRPr="00580634">
        <w:rPr>
          <w:rFonts w:asciiTheme="majorBidi" w:hAnsiTheme="majorBidi" w:cstheme="majorBidi"/>
        </w:rPr>
        <w:t xml:space="preserve"> 35). </w:t>
      </w:r>
    </w:p>
    <w:p w14:paraId="25F4E249" w14:textId="77777777" w:rsidR="0074709E" w:rsidRPr="00A678F1" w:rsidRDefault="009103BD" w:rsidP="00325FD5">
      <w:pPr>
        <w:autoSpaceDE w:val="0"/>
        <w:autoSpaceDN w:val="0"/>
        <w:adjustRightInd w:val="0"/>
        <w:jc w:val="both"/>
        <w:rPr>
          <w:rFonts w:asciiTheme="majorBidi" w:hAnsiTheme="majorBidi" w:cstheme="majorBidi"/>
          <w:b/>
          <w:bCs/>
          <w:i/>
        </w:rPr>
      </w:pPr>
      <w:r w:rsidRPr="00A678F1">
        <w:rPr>
          <w:rFonts w:asciiTheme="majorBidi" w:hAnsiTheme="majorBidi" w:cstheme="majorBidi"/>
          <w:b/>
          <w:bCs/>
          <w:i/>
        </w:rPr>
        <w:t>Depletion of Resources and Incremental Slow Violence</w:t>
      </w:r>
    </w:p>
    <w:p w14:paraId="3E99C93C" w14:textId="77777777" w:rsidR="0074709E" w:rsidRPr="00580634" w:rsidRDefault="009103BD" w:rsidP="00325FD5">
      <w:pPr>
        <w:autoSpaceDE w:val="0"/>
        <w:autoSpaceDN w:val="0"/>
        <w:adjustRightInd w:val="0"/>
        <w:ind w:firstLine="720"/>
        <w:jc w:val="both"/>
        <w:rPr>
          <w:rFonts w:asciiTheme="majorBidi" w:hAnsiTheme="majorBidi" w:cstheme="majorBidi"/>
        </w:rPr>
      </w:pPr>
      <w:r w:rsidRPr="00580634">
        <w:rPr>
          <w:rFonts w:asciiTheme="majorBidi" w:hAnsiTheme="majorBidi" w:cstheme="majorBidi"/>
        </w:rPr>
        <w:t xml:space="preserve">As the novel progresses, effects of slow violence become more and more visible; food scarcity becomes a looming threat. Maryam’s family faces deficiency of food and same is the case with their cattle which “had grown lean. The buffalo especially” (Khan, </w:t>
      </w:r>
      <w:r w:rsidRPr="00580634">
        <w:rPr>
          <w:rFonts w:asciiTheme="majorBidi" w:hAnsiTheme="majorBidi" w:cstheme="majorBidi"/>
          <w:i/>
        </w:rPr>
        <w:t>TTS</w:t>
      </w:r>
      <w:r w:rsidRPr="00580634">
        <w:rPr>
          <w:rFonts w:asciiTheme="majorBidi" w:hAnsiTheme="majorBidi" w:cstheme="majorBidi"/>
        </w:rPr>
        <w:t xml:space="preserve"> 248). The availability of milk, butter, and meat has considerably decreased because of extinction of local breeds of cattle and compulsion to keep less productive and more consumptive animals; hence, Maryam is worried that “what would happen once their supplies ran out” (Khan, </w:t>
      </w:r>
      <w:r w:rsidRPr="00580634">
        <w:rPr>
          <w:rFonts w:asciiTheme="majorBidi" w:hAnsiTheme="majorBidi" w:cstheme="majorBidi"/>
          <w:i/>
        </w:rPr>
        <w:t>TTS</w:t>
      </w:r>
      <w:r w:rsidRPr="00580634">
        <w:rPr>
          <w:rFonts w:asciiTheme="majorBidi" w:hAnsiTheme="majorBidi" w:cstheme="majorBidi"/>
        </w:rPr>
        <w:t xml:space="preserve"> 260). Lack of freedom to graze their cattle, barbed wires, and huge fines in case an animal violates the sanctity of the state-defined boundaries (which are many times declared falsely so) allow the officials to suck the already depleting resources: “The herders were told to pay four thousand rupees, as well as a weekly supply of milk, curd, butter, and ghee for an indefinite period of time” (Khan, </w:t>
      </w:r>
      <w:r w:rsidRPr="00580634">
        <w:rPr>
          <w:rFonts w:asciiTheme="majorBidi" w:hAnsiTheme="majorBidi" w:cstheme="majorBidi"/>
          <w:i/>
        </w:rPr>
        <w:t>TTS</w:t>
      </w:r>
      <w:r w:rsidRPr="00580634">
        <w:rPr>
          <w:rFonts w:asciiTheme="majorBidi" w:hAnsiTheme="majorBidi" w:cstheme="majorBidi"/>
        </w:rPr>
        <w:t xml:space="preserve"> 217). While these tax collectors and forest inspectors “always plagued them,” policemen, spies, soldiers and religious militants were also to be “placated with ghee and sugar, </w:t>
      </w:r>
      <w:r w:rsidRPr="00580634">
        <w:rPr>
          <w:rFonts w:asciiTheme="majorBidi" w:hAnsiTheme="majorBidi" w:cstheme="majorBidi"/>
        </w:rPr>
        <w:lastRenderedPageBreak/>
        <w:t xml:space="preserve">mutton and bread” (Khan, </w:t>
      </w:r>
      <w:r w:rsidRPr="00580634">
        <w:rPr>
          <w:rFonts w:asciiTheme="majorBidi" w:hAnsiTheme="majorBidi" w:cstheme="majorBidi"/>
          <w:i/>
        </w:rPr>
        <w:t>TTS</w:t>
      </w:r>
      <w:r w:rsidRPr="00580634">
        <w:rPr>
          <w:rFonts w:asciiTheme="majorBidi" w:hAnsiTheme="majorBidi" w:cstheme="majorBidi"/>
        </w:rPr>
        <w:t xml:space="preserve"> 260). This human and ecological exploitation is incremental and towards the end of the novel Maryam is running out of supplies.</w:t>
      </w:r>
    </w:p>
    <w:p w14:paraId="2CC9DDE9" w14:textId="77777777" w:rsidR="0074709E" w:rsidRPr="00A678F1" w:rsidRDefault="009103BD" w:rsidP="00325FD5">
      <w:pPr>
        <w:jc w:val="both"/>
        <w:rPr>
          <w:rFonts w:asciiTheme="majorBidi" w:hAnsiTheme="majorBidi" w:cstheme="majorBidi"/>
          <w:b/>
          <w:bCs/>
          <w:i/>
        </w:rPr>
      </w:pPr>
      <w:r w:rsidRPr="00A678F1">
        <w:rPr>
          <w:rFonts w:asciiTheme="majorBidi" w:hAnsiTheme="majorBidi" w:cstheme="majorBidi"/>
          <w:b/>
          <w:bCs/>
          <w:i/>
        </w:rPr>
        <w:t>Rampant Deforestation, Exponential Slow Violence and Climate Vulnerabilities</w:t>
      </w:r>
    </w:p>
    <w:p w14:paraId="575308B0" w14:textId="77777777" w:rsidR="0074709E" w:rsidRPr="00580634" w:rsidRDefault="009103BD" w:rsidP="00325FD5">
      <w:pPr>
        <w:autoSpaceDE w:val="0"/>
        <w:autoSpaceDN w:val="0"/>
        <w:adjustRightInd w:val="0"/>
        <w:ind w:firstLine="720"/>
        <w:jc w:val="both"/>
        <w:rPr>
          <w:rFonts w:asciiTheme="majorBidi" w:eastAsiaTheme="minorHAnsi" w:hAnsiTheme="majorBidi" w:cstheme="majorBidi"/>
          <w:lang w:eastAsia="en-US"/>
        </w:rPr>
      </w:pPr>
      <w:r w:rsidRPr="00580634">
        <w:rPr>
          <w:rFonts w:asciiTheme="majorBidi" w:hAnsiTheme="majorBidi" w:cstheme="majorBidi"/>
        </w:rPr>
        <w:t xml:space="preserve">Exploitation of the poor women and their environment is further highlighted by rampant deforestation that augments their climate vulnerability. There has been rampant deforestation in the Northern areas of Pakistan as Nazir et al in </w:t>
      </w:r>
      <w:r w:rsidRPr="00580634">
        <w:rPr>
          <w:rFonts w:asciiTheme="majorBidi" w:hAnsiTheme="majorBidi" w:cstheme="majorBidi"/>
          <w:i/>
        </w:rPr>
        <w:t xml:space="preserve">Forest Wood Consumption </w:t>
      </w:r>
      <w:r w:rsidRPr="00580634">
        <w:rPr>
          <w:rFonts w:asciiTheme="majorBidi" w:hAnsiTheme="majorBidi" w:cstheme="majorBidi"/>
        </w:rPr>
        <w:t>document that NWFP “was leading in timber production with 49%” during 1990’s (77). “Over-exploitation of wood resources, over-grazing and poor land-use management” have been some of the main reasons behind deforestation (Nazir et al 73).</w:t>
      </w:r>
      <w:r w:rsidRPr="00580634">
        <w:rPr>
          <w:rFonts w:asciiTheme="majorBidi" w:hAnsiTheme="majorBidi" w:cstheme="majorBidi"/>
          <w:color w:val="948A54" w:themeColor="background2" w:themeShade="80"/>
        </w:rPr>
        <w:t xml:space="preserve"> </w:t>
      </w:r>
      <w:r w:rsidRPr="00580634">
        <w:rPr>
          <w:rFonts w:asciiTheme="majorBidi" w:hAnsiTheme="majorBidi" w:cstheme="majorBidi"/>
        </w:rPr>
        <w:t>Khan documents about state that</w:t>
      </w:r>
      <w:r w:rsidRPr="00580634">
        <w:rPr>
          <w:rFonts w:asciiTheme="majorBidi" w:hAnsiTheme="majorBidi" w:cstheme="majorBidi"/>
          <w:color w:val="948A54" w:themeColor="background2" w:themeShade="80"/>
        </w:rPr>
        <w:t xml:space="preserve"> </w:t>
      </w:r>
      <w:r w:rsidRPr="00580634">
        <w:rPr>
          <w:rFonts w:asciiTheme="majorBidi" w:hAnsiTheme="majorBidi" w:cstheme="majorBidi"/>
        </w:rPr>
        <w:t xml:space="preserve">“They leashed the forest and then leased it. Men with a list of fines the length of a horse’s mane; and a list of felled trees the length of three times three” (Khan, </w:t>
      </w:r>
      <w:r w:rsidRPr="00580634">
        <w:rPr>
          <w:rFonts w:asciiTheme="majorBidi" w:hAnsiTheme="majorBidi" w:cstheme="majorBidi"/>
          <w:i/>
        </w:rPr>
        <w:t>TTS</w:t>
      </w:r>
      <w:r w:rsidRPr="00580634">
        <w:rPr>
          <w:rFonts w:asciiTheme="majorBidi" w:hAnsiTheme="majorBidi" w:cstheme="majorBidi"/>
        </w:rPr>
        <w:t xml:space="preserve"> 199). </w:t>
      </w:r>
      <w:r w:rsidRPr="00580634">
        <w:rPr>
          <w:rFonts w:asciiTheme="majorBidi" w:eastAsiaTheme="minorHAnsi" w:hAnsiTheme="majorBidi" w:cstheme="majorBidi"/>
          <w:lang w:eastAsia="en-US"/>
        </w:rPr>
        <w:t xml:space="preserve">Dani writes about “forests with splendid trees, undamaged for centuries” beside the rivers in the Northern areas of Pakistan; forests which are going through deforestation due to “rapidly increasing consumption” of trees which even involves cutting of fruit trees (94). Nazir et al document that “commercial harvesting and corruption contribute to deforestation” in Northern areas of Pakistan (75). Ecological disposability has been highlighted by Khan through describing two favourite ways of smuggling by timber mafia: firstly, by compelling attendants of festivities (like Maryam and Suleiman’s marriage) to layer the floors of their vehicles with logs to be smuggled; secondly, to send them “down the Kunhar to the big lakes of Mangla and Tarbela, where forest officials lay in wait” (Khan, </w:t>
      </w:r>
      <w:r w:rsidRPr="00580634">
        <w:rPr>
          <w:rFonts w:asciiTheme="majorBidi" w:eastAsiaTheme="minorHAnsi" w:hAnsiTheme="majorBidi" w:cstheme="majorBidi"/>
          <w:i/>
          <w:lang w:eastAsia="en-US"/>
        </w:rPr>
        <w:t>TTS</w:t>
      </w:r>
      <w:r w:rsidRPr="00580634">
        <w:rPr>
          <w:rFonts w:asciiTheme="majorBidi" w:eastAsiaTheme="minorHAnsi" w:hAnsiTheme="majorBidi" w:cstheme="majorBidi"/>
          <w:lang w:eastAsia="en-US"/>
        </w:rPr>
        <w:t xml:space="preserve"> 221). This smuggling by “the floating of tree trunks down the Indus has always entailed heavy losses” (Dani 94). This missive cutting of trees results in heightened climate vulnerability for the poor, as Khan narrates:</w:t>
      </w:r>
    </w:p>
    <w:p w14:paraId="278127FF" w14:textId="77777777" w:rsidR="0074709E" w:rsidRPr="00580634" w:rsidRDefault="009103BD" w:rsidP="00325FD5">
      <w:pPr>
        <w:autoSpaceDE w:val="0"/>
        <w:autoSpaceDN w:val="0"/>
        <w:adjustRightInd w:val="0"/>
        <w:ind w:left="720"/>
        <w:jc w:val="both"/>
        <w:rPr>
          <w:rFonts w:asciiTheme="majorBidi" w:hAnsiTheme="majorBidi" w:cstheme="majorBidi"/>
        </w:rPr>
      </w:pPr>
      <w:r w:rsidRPr="00580634">
        <w:rPr>
          <w:rFonts w:asciiTheme="majorBidi" w:eastAsiaTheme="minorHAnsi" w:hAnsiTheme="majorBidi" w:cstheme="majorBidi"/>
          <w:lang w:eastAsia="en-US"/>
        </w:rPr>
        <w:t>“The field had been rotten because the land was easily destroyed in the floods the previous year. The land was easily destroyed because it had no trees. It had no trees because the same inspector grew fat each time the forest was torn down. There was always a beginning, hard as it was to keep track of sometimes (</w:t>
      </w:r>
      <w:r w:rsidRPr="00580634">
        <w:rPr>
          <w:rFonts w:asciiTheme="majorBidi" w:eastAsiaTheme="minorHAnsi" w:hAnsiTheme="majorBidi" w:cstheme="majorBidi"/>
          <w:i/>
          <w:lang w:eastAsia="en-US"/>
        </w:rPr>
        <w:t>TTS</w:t>
      </w:r>
      <w:r w:rsidRPr="00580634">
        <w:rPr>
          <w:rFonts w:asciiTheme="majorBidi" w:eastAsiaTheme="minorHAnsi" w:hAnsiTheme="majorBidi" w:cstheme="majorBidi"/>
          <w:lang w:eastAsia="en-US"/>
        </w:rPr>
        <w:t xml:space="preserve"> 217).</w:t>
      </w:r>
    </w:p>
    <w:p w14:paraId="20E8363C" w14:textId="77777777" w:rsidR="0074709E" w:rsidRPr="00580634" w:rsidRDefault="009103BD" w:rsidP="00325FD5">
      <w:pPr>
        <w:jc w:val="both"/>
        <w:rPr>
          <w:rFonts w:asciiTheme="majorBidi" w:hAnsiTheme="majorBidi" w:cstheme="majorBidi"/>
          <w:i/>
        </w:rPr>
      </w:pPr>
      <w:r w:rsidRPr="00580634">
        <w:rPr>
          <w:rFonts w:asciiTheme="majorBidi" w:hAnsiTheme="majorBidi" w:cstheme="majorBidi"/>
        </w:rPr>
        <w:lastRenderedPageBreak/>
        <w:t xml:space="preserve">Slow violence caused by deforestation leads to less water retention, so more soil erosion, leading to flooding as in the year 1991 and later in 2022. Corrupt government officials and mafia worsen the living conditions of the marginalised poor as their place “loses its life-sustaining features” (Nixon, </w:t>
      </w:r>
      <w:r w:rsidRPr="00580634">
        <w:rPr>
          <w:rFonts w:asciiTheme="majorBidi" w:hAnsiTheme="majorBidi" w:cstheme="majorBidi"/>
          <w:i/>
        </w:rPr>
        <w:t>SV</w:t>
      </w:r>
      <w:r w:rsidRPr="00580634">
        <w:rPr>
          <w:rFonts w:asciiTheme="majorBidi" w:hAnsiTheme="majorBidi" w:cstheme="majorBidi"/>
        </w:rPr>
        <w:t xml:space="preserve"> 19). Given the vulnerability of the land, it might even face a through wiping away, as Maryam thinks about Balakot: “It was a fragile town; another flood or earthquake and it might not survive at all” (Khan, </w:t>
      </w:r>
      <w:r w:rsidRPr="00580634">
        <w:rPr>
          <w:rFonts w:asciiTheme="majorBidi" w:hAnsiTheme="majorBidi" w:cstheme="majorBidi"/>
          <w:i/>
        </w:rPr>
        <w:t>TTS</w:t>
      </w:r>
      <w:r w:rsidRPr="00580634">
        <w:rPr>
          <w:rFonts w:asciiTheme="majorBidi" w:hAnsiTheme="majorBidi" w:cstheme="majorBidi"/>
        </w:rPr>
        <w:t xml:space="preserve"> 252)</w:t>
      </w:r>
      <w:r w:rsidRPr="00580634">
        <w:rPr>
          <w:rFonts w:asciiTheme="majorBidi" w:hAnsiTheme="majorBidi" w:cstheme="majorBidi"/>
          <w:i/>
        </w:rPr>
        <w:t>.</w:t>
      </w:r>
    </w:p>
    <w:p w14:paraId="0775520C" w14:textId="77777777" w:rsidR="0074709E" w:rsidRPr="00580634" w:rsidRDefault="009103BD" w:rsidP="00325FD5">
      <w:pPr>
        <w:jc w:val="both"/>
        <w:rPr>
          <w:rFonts w:asciiTheme="majorBidi" w:eastAsiaTheme="minorHAnsi" w:hAnsiTheme="majorBidi" w:cstheme="majorBidi"/>
          <w:b/>
          <w:lang w:eastAsia="en-US"/>
        </w:rPr>
      </w:pPr>
      <w:r w:rsidRPr="00580634">
        <w:rPr>
          <w:rFonts w:asciiTheme="majorBidi" w:hAnsiTheme="majorBidi" w:cstheme="majorBidi"/>
          <w:i/>
        </w:rPr>
        <w:t xml:space="preserve"> </w:t>
      </w:r>
      <w:r w:rsidRPr="00580634">
        <w:rPr>
          <w:rFonts w:asciiTheme="majorBidi" w:eastAsiaTheme="minorHAnsi" w:hAnsiTheme="majorBidi" w:cstheme="majorBidi"/>
          <w:b/>
          <w:lang w:eastAsia="en-US"/>
        </w:rPr>
        <w:t>Conclusion</w:t>
      </w:r>
    </w:p>
    <w:p w14:paraId="3AD95D51" w14:textId="77777777" w:rsidR="0074709E" w:rsidRPr="00580634" w:rsidRDefault="009103BD" w:rsidP="00325FD5">
      <w:pPr>
        <w:ind w:firstLine="720"/>
        <w:jc w:val="both"/>
        <w:rPr>
          <w:rFonts w:asciiTheme="majorBidi" w:hAnsiTheme="majorBidi" w:cstheme="majorBidi"/>
        </w:rPr>
      </w:pPr>
      <w:r w:rsidRPr="00580634">
        <w:rPr>
          <w:rFonts w:asciiTheme="majorBidi" w:eastAsiaTheme="minorHAnsi" w:hAnsiTheme="majorBidi" w:cstheme="majorBidi"/>
          <w:lang w:eastAsia="en-US"/>
        </w:rPr>
        <w:t xml:space="preserve">To sum it up, by applying the theoretical lens of slow violence, the article considers ‘poor’ as a term that expresses intersectional identities. Textual analysis of </w:t>
      </w:r>
      <w:r w:rsidRPr="00580634">
        <w:rPr>
          <w:rFonts w:asciiTheme="majorBidi" w:eastAsiaTheme="minorHAnsi" w:hAnsiTheme="majorBidi" w:cstheme="majorBidi"/>
          <w:i/>
          <w:lang w:eastAsia="en-US"/>
        </w:rPr>
        <w:t xml:space="preserve">TTS </w:t>
      </w:r>
      <w:r w:rsidRPr="00580634">
        <w:rPr>
          <w:rFonts w:asciiTheme="majorBidi" w:eastAsiaTheme="minorHAnsi" w:hAnsiTheme="majorBidi" w:cstheme="majorBidi"/>
          <w:lang w:eastAsia="en-US"/>
        </w:rPr>
        <w:t xml:space="preserve">by Khan presents how intersectional identities of Maryam as a female, as a herder, as a non-practicing Muslim, and as a poverty-stricken member of the society make her and her family members exposed to climate vulnerabilities. Gender, ethnicity and class intersect as Maryam struggles for bare minimum survival when encountering depletion of resources caused by intersectional systems of hegemonic power. Slow violence in the form of human and ecological disposability with its attritional and incremental impacts makes the lives of the poor difficult. State imposed restrictions on grazing, rearing state-approved breeds of cattle, increasing fines and taxes, coupled with always imminent intrusion of intersecting hegemonic overlords like the forest inspector, police, military, and religious preachers augment climate vulnerabilities for the poor womenfolk. </w:t>
      </w:r>
      <w:r w:rsidRPr="00580634">
        <w:rPr>
          <w:rFonts w:asciiTheme="majorBidi" w:hAnsiTheme="majorBidi" w:cstheme="majorBidi"/>
        </w:rPr>
        <w:t xml:space="preserve">The article hopes to make some contribution through a “deep commitment to gender justice in all of its intersectional complexity” </w:t>
      </w:r>
      <w:r w:rsidRPr="00580634">
        <w:rPr>
          <w:rFonts w:asciiTheme="majorBidi" w:eastAsiaTheme="minorHAnsi" w:hAnsiTheme="majorBidi" w:cstheme="majorBidi"/>
          <w:lang w:eastAsia="en-US"/>
        </w:rPr>
        <w:t>by portraying the vulnerabilities confronted by the poor women, like Maryam</w:t>
      </w:r>
      <w:r w:rsidRPr="00580634">
        <w:rPr>
          <w:rFonts w:asciiTheme="majorBidi" w:hAnsiTheme="majorBidi" w:cstheme="majorBidi"/>
        </w:rPr>
        <w:t xml:space="preserve"> (Coleman).</w:t>
      </w:r>
    </w:p>
    <w:p w14:paraId="3FDDC6CA" w14:textId="77777777" w:rsidR="0074709E" w:rsidRPr="00580634" w:rsidRDefault="0074709E" w:rsidP="00325FD5">
      <w:pPr>
        <w:jc w:val="both"/>
        <w:rPr>
          <w:rFonts w:asciiTheme="majorBidi" w:hAnsiTheme="majorBidi" w:cstheme="majorBidi"/>
        </w:rPr>
      </w:pPr>
    </w:p>
    <w:p w14:paraId="3A200F78" w14:textId="77777777" w:rsidR="004E595F" w:rsidRDefault="009103BD" w:rsidP="004E595F">
      <w:pPr>
        <w:jc w:val="both"/>
        <w:rPr>
          <w:rFonts w:asciiTheme="majorBidi" w:hAnsiTheme="majorBidi" w:cstheme="majorBidi"/>
          <w:b/>
        </w:rPr>
      </w:pPr>
      <w:r w:rsidRPr="00580634">
        <w:rPr>
          <w:rFonts w:asciiTheme="majorBidi" w:hAnsiTheme="majorBidi" w:cstheme="majorBidi"/>
          <w:b/>
        </w:rPr>
        <w:t>Works Cited</w:t>
      </w:r>
    </w:p>
    <w:p w14:paraId="7AFE517F" w14:textId="77777777" w:rsidR="0074709E" w:rsidRPr="00580634" w:rsidRDefault="009103BD" w:rsidP="0015380E">
      <w:pPr>
        <w:ind w:left="720" w:hanging="720"/>
        <w:jc w:val="both"/>
        <w:rPr>
          <w:rFonts w:asciiTheme="majorBidi" w:hAnsiTheme="majorBidi" w:cstheme="majorBidi"/>
        </w:rPr>
      </w:pPr>
      <w:r w:rsidRPr="00580634">
        <w:rPr>
          <w:rFonts w:asciiTheme="majorBidi" w:hAnsiTheme="majorBidi" w:cstheme="majorBidi"/>
        </w:rPr>
        <w:t xml:space="preserve">Alexander, M. Jacqui, and Chandra Talpade Mohanty. “Introduction: Genealogies, Legacies,    Movements.” </w:t>
      </w:r>
      <w:r w:rsidRPr="00580634">
        <w:rPr>
          <w:rFonts w:asciiTheme="majorBidi" w:hAnsiTheme="majorBidi" w:cstheme="majorBidi"/>
          <w:i/>
          <w:iCs/>
        </w:rPr>
        <w:t>Feminist Genealogies, Colonial Legacies, Democratic Futures</w:t>
      </w:r>
      <w:r w:rsidRPr="00580634">
        <w:rPr>
          <w:rFonts w:asciiTheme="majorBidi" w:hAnsiTheme="majorBidi" w:cstheme="majorBidi"/>
        </w:rPr>
        <w:t>, edited by M. Jacqui Alexander and Chandra Talpade Mohanty, Routledge, 1997, pp. xiii-xlii.</w:t>
      </w:r>
    </w:p>
    <w:p w14:paraId="09896C5A" w14:textId="77777777" w:rsidR="0074709E" w:rsidRPr="00580634" w:rsidRDefault="009103BD" w:rsidP="00325FD5">
      <w:pPr>
        <w:spacing w:before="240"/>
        <w:ind w:left="720" w:hanging="720"/>
        <w:jc w:val="both"/>
        <w:rPr>
          <w:rFonts w:asciiTheme="majorBidi" w:hAnsiTheme="majorBidi" w:cstheme="majorBidi"/>
        </w:rPr>
      </w:pPr>
      <w:r w:rsidRPr="00580634">
        <w:rPr>
          <w:rFonts w:asciiTheme="majorBidi" w:hAnsiTheme="majorBidi" w:cstheme="majorBidi"/>
        </w:rPr>
        <w:lastRenderedPageBreak/>
        <w:t xml:space="preserve">Buell, Lawrence, et al. “Literature and Environment.” </w:t>
      </w:r>
      <w:r w:rsidRPr="00580634">
        <w:rPr>
          <w:rFonts w:asciiTheme="majorBidi" w:hAnsiTheme="majorBidi" w:cstheme="majorBidi"/>
          <w:i/>
          <w:iCs/>
        </w:rPr>
        <w:t>Annual Review of Environment and Resources</w:t>
      </w:r>
      <w:r w:rsidRPr="00580634">
        <w:rPr>
          <w:rFonts w:asciiTheme="majorBidi" w:hAnsiTheme="majorBidi" w:cstheme="majorBidi"/>
          <w:iCs/>
        </w:rPr>
        <w:t>, vol.</w:t>
      </w:r>
      <w:r w:rsidRPr="00580634">
        <w:rPr>
          <w:rFonts w:asciiTheme="majorBidi" w:hAnsiTheme="majorBidi" w:cstheme="majorBidi"/>
        </w:rPr>
        <w:t xml:space="preserve"> 36, Aug. 2011, pp. 417–440.</w:t>
      </w:r>
      <w:r w:rsidRPr="00580634">
        <w:rPr>
          <w:rFonts w:asciiTheme="majorBidi" w:hAnsiTheme="majorBidi" w:cstheme="majorBidi"/>
          <w:color w:val="76923C" w:themeColor="accent3" w:themeShade="BF"/>
        </w:rPr>
        <w:t xml:space="preserve"> </w:t>
      </w:r>
      <w:hyperlink r:id="rId7" w:history="1">
        <w:r w:rsidRPr="00580634">
          <w:rPr>
            <w:rStyle w:val="Hyperlink"/>
            <w:rFonts w:asciiTheme="majorBidi" w:hAnsiTheme="majorBidi" w:cstheme="majorBidi"/>
          </w:rPr>
          <w:t>https://doi.org/10.1146/annurev-environ-111109-144855</w:t>
        </w:r>
      </w:hyperlink>
    </w:p>
    <w:p w14:paraId="780E6BDE" w14:textId="77777777" w:rsidR="0074709E" w:rsidRPr="00580634" w:rsidRDefault="009103BD" w:rsidP="00325FD5">
      <w:pPr>
        <w:spacing w:before="240"/>
        <w:ind w:left="720" w:hanging="720"/>
        <w:jc w:val="both"/>
        <w:rPr>
          <w:rFonts w:asciiTheme="majorBidi" w:hAnsiTheme="majorBidi" w:cstheme="majorBidi"/>
        </w:rPr>
      </w:pPr>
      <w:r w:rsidRPr="00580634">
        <w:rPr>
          <w:rFonts w:asciiTheme="majorBidi" w:hAnsiTheme="majorBidi" w:cstheme="majorBidi"/>
        </w:rPr>
        <w:t>Carastathis</w:t>
      </w:r>
      <w:r w:rsidRPr="00580634">
        <w:rPr>
          <w:rFonts w:asciiTheme="majorBidi" w:eastAsiaTheme="minorHAnsi" w:hAnsiTheme="majorBidi" w:cstheme="majorBidi"/>
          <w:lang w:eastAsia="en-US"/>
        </w:rPr>
        <w:t xml:space="preserve">, Anna. “The Concept of Intersectionality in Feminist Theory.” </w:t>
      </w:r>
      <w:r w:rsidRPr="00580634">
        <w:rPr>
          <w:rFonts w:asciiTheme="majorBidi" w:eastAsiaTheme="minorHAnsi" w:hAnsiTheme="majorBidi" w:cstheme="majorBidi"/>
          <w:i/>
          <w:lang w:eastAsia="en-US"/>
        </w:rPr>
        <w:t>Philosophy Compass</w:t>
      </w:r>
      <w:r w:rsidRPr="00580634">
        <w:rPr>
          <w:rFonts w:asciiTheme="majorBidi" w:eastAsiaTheme="minorHAnsi" w:hAnsiTheme="majorBidi" w:cstheme="majorBidi"/>
          <w:lang w:eastAsia="en-US"/>
        </w:rPr>
        <w:t>, vol. 9, no. 5, May 2014, pp. 304-314.</w:t>
      </w:r>
      <w:r w:rsidRPr="00580634">
        <w:rPr>
          <w:rFonts w:asciiTheme="majorBidi" w:eastAsiaTheme="minorHAnsi" w:hAnsiTheme="majorBidi" w:cstheme="majorBidi"/>
          <w:color w:val="76923C" w:themeColor="accent3" w:themeShade="BF"/>
          <w:lang w:eastAsia="en-US"/>
        </w:rPr>
        <w:t xml:space="preserve"> </w:t>
      </w:r>
      <w:hyperlink r:id="rId8" w:history="1">
        <w:r w:rsidRPr="00580634">
          <w:rPr>
            <w:rStyle w:val="Hyperlink"/>
            <w:rFonts w:asciiTheme="majorBidi" w:hAnsiTheme="majorBidi" w:cstheme="majorBidi"/>
          </w:rPr>
          <w:t>https://doi.org/10.1111/phc3.12129</w:t>
        </w:r>
      </w:hyperlink>
    </w:p>
    <w:p w14:paraId="5C4D262C" w14:textId="77777777" w:rsidR="0074709E" w:rsidRPr="00580634" w:rsidRDefault="009103BD" w:rsidP="00325FD5">
      <w:pPr>
        <w:spacing w:before="240"/>
        <w:ind w:left="720" w:hanging="720"/>
        <w:jc w:val="both"/>
        <w:rPr>
          <w:rFonts w:asciiTheme="majorBidi" w:eastAsiaTheme="minorHAnsi" w:hAnsiTheme="majorBidi" w:cstheme="majorBidi"/>
          <w:lang w:eastAsia="en-US"/>
        </w:rPr>
      </w:pPr>
      <w:r w:rsidRPr="00580634">
        <w:rPr>
          <w:rFonts w:asciiTheme="majorBidi" w:hAnsiTheme="majorBidi" w:cstheme="majorBidi"/>
        </w:rPr>
        <w:t>Carbado</w:t>
      </w:r>
      <w:r w:rsidRPr="00580634">
        <w:rPr>
          <w:rFonts w:asciiTheme="majorBidi" w:eastAsiaTheme="minorHAnsi" w:hAnsiTheme="majorBidi" w:cstheme="majorBidi"/>
          <w:lang w:eastAsia="en-US"/>
        </w:rPr>
        <w:t xml:space="preserve">, Devon W., et al. “Intersectionality: Mapping the Movements of a Theory.” </w:t>
      </w:r>
      <w:r w:rsidRPr="00580634">
        <w:rPr>
          <w:rFonts w:asciiTheme="majorBidi" w:eastAsiaTheme="minorHAnsi" w:hAnsiTheme="majorBidi" w:cstheme="majorBidi"/>
          <w:i/>
          <w:lang w:eastAsia="en-US"/>
        </w:rPr>
        <w:t>Du Bois Review: Social Science Research on Race</w:t>
      </w:r>
      <w:r w:rsidRPr="00580634">
        <w:rPr>
          <w:rFonts w:asciiTheme="majorBidi" w:eastAsiaTheme="minorHAnsi" w:hAnsiTheme="majorBidi" w:cstheme="majorBidi"/>
          <w:lang w:eastAsia="en-US"/>
        </w:rPr>
        <w:t xml:space="preserve">, vol. 10, no. 2, 2013, pp. 303-312. </w:t>
      </w:r>
      <w:hyperlink r:id="rId9" w:history="1">
        <w:r w:rsidRPr="00580634">
          <w:rPr>
            <w:rStyle w:val="Hyperlink"/>
            <w:rFonts w:asciiTheme="majorBidi" w:eastAsiaTheme="minorHAnsi" w:hAnsiTheme="majorBidi" w:cstheme="majorBidi"/>
            <w:lang w:eastAsia="en-US"/>
          </w:rPr>
          <w:t>https://doi.org/10.1017/S1742058X13000349</w:t>
        </w:r>
      </w:hyperlink>
      <w:r w:rsidRPr="00580634">
        <w:rPr>
          <w:rFonts w:asciiTheme="majorBidi" w:eastAsiaTheme="minorHAnsi" w:hAnsiTheme="majorBidi" w:cstheme="majorBidi"/>
          <w:color w:val="000000"/>
          <w:lang w:eastAsia="en-US"/>
        </w:rPr>
        <w:t xml:space="preserve"> </w:t>
      </w:r>
    </w:p>
    <w:p w14:paraId="16BE5003" w14:textId="77777777" w:rsidR="0074709E" w:rsidRPr="00580634" w:rsidRDefault="009103BD" w:rsidP="00325FD5">
      <w:pPr>
        <w:spacing w:before="240"/>
        <w:ind w:left="720" w:hanging="720"/>
        <w:jc w:val="both"/>
        <w:rPr>
          <w:rFonts w:asciiTheme="majorBidi" w:hAnsiTheme="majorBidi" w:cstheme="majorBidi"/>
        </w:rPr>
      </w:pPr>
      <w:r w:rsidRPr="00580634">
        <w:rPr>
          <w:rFonts w:asciiTheme="majorBidi" w:hAnsiTheme="majorBidi" w:cstheme="majorBidi"/>
        </w:rPr>
        <w:t xml:space="preserve">Chakraborty, Madhurima. “Introduction: Whose City?” </w:t>
      </w:r>
      <w:r w:rsidRPr="00580634">
        <w:rPr>
          <w:rFonts w:asciiTheme="majorBidi" w:hAnsiTheme="majorBidi" w:cstheme="majorBidi"/>
          <w:i/>
          <w:iCs/>
        </w:rPr>
        <w:t>Postcolonial Urban Outcasts: City Margins in South Asian Literature</w:t>
      </w:r>
      <w:r w:rsidRPr="00580634">
        <w:rPr>
          <w:rFonts w:asciiTheme="majorBidi" w:hAnsiTheme="majorBidi" w:cstheme="majorBidi"/>
        </w:rPr>
        <w:t>, edited by Madhurima Chakraborty and Umme Al-wazedi, Taylor &amp; Francis, 2016, pp. 1-18.</w:t>
      </w:r>
    </w:p>
    <w:p w14:paraId="1E103764" w14:textId="77777777" w:rsidR="0074709E" w:rsidRPr="00580634" w:rsidRDefault="009103BD" w:rsidP="00325FD5">
      <w:pPr>
        <w:spacing w:before="240"/>
        <w:ind w:left="720" w:hanging="720"/>
        <w:jc w:val="both"/>
        <w:rPr>
          <w:rFonts w:asciiTheme="majorBidi" w:eastAsiaTheme="minorHAnsi" w:hAnsiTheme="majorBidi" w:cstheme="majorBidi"/>
          <w:color w:val="00B0F0"/>
          <w:u w:val="single"/>
          <w:lang w:eastAsia="en-US"/>
        </w:rPr>
      </w:pPr>
      <w:r w:rsidRPr="00580634">
        <w:rPr>
          <w:rFonts w:asciiTheme="majorBidi" w:hAnsiTheme="majorBidi" w:cstheme="majorBidi"/>
        </w:rPr>
        <w:t>Cho</w:t>
      </w:r>
      <w:r w:rsidRPr="00580634">
        <w:rPr>
          <w:rFonts w:asciiTheme="majorBidi" w:eastAsiaTheme="minorHAnsi" w:hAnsiTheme="majorBidi" w:cstheme="majorBidi"/>
          <w:lang w:eastAsia="en-US"/>
        </w:rPr>
        <w:t xml:space="preserve">, Sumi, et al. “Toward a Field of Intersectionality Studies: Theory, Applications, and Praxis.” </w:t>
      </w:r>
      <w:r w:rsidRPr="00580634">
        <w:rPr>
          <w:rFonts w:asciiTheme="majorBidi" w:eastAsiaTheme="minorHAnsi" w:hAnsiTheme="majorBidi" w:cstheme="majorBidi"/>
          <w:i/>
          <w:lang w:eastAsia="en-US"/>
        </w:rPr>
        <w:t>Signs</w:t>
      </w:r>
      <w:r w:rsidRPr="00580634">
        <w:rPr>
          <w:rFonts w:asciiTheme="majorBidi" w:eastAsiaTheme="minorHAnsi" w:hAnsiTheme="majorBidi" w:cstheme="majorBidi"/>
          <w:lang w:eastAsia="en-US"/>
        </w:rPr>
        <w:t xml:space="preserve">, vol. 38, no. 4, 2013, pp. 785-810. </w:t>
      </w:r>
      <w:hyperlink r:id="rId10" w:history="1">
        <w:r w:rsidRPr="00580634">
          <w:rPr>
            <w:rStyle w:val="Hyperlink"/>
            <w:rFonts w:asciiTheme="majorBidi" w:eastAsiaTheme="minorHAnsi" w:hAnsiTheme="majorBidi" w:cstheme="majorBidi"/>
            <w:lang w:eastAsia="en-US"/>
          </w:rPr>
          <w:t>http://www.jstor.org/stable/10.1086/669608</w:t>
        </w:r>
      </w:hyperlink>
    </w:p>
    <w:p w14:paraId="6F29C8EC" w14:textId="77777777" w:rsidR="0074709E" w:rsidRPr="00580634" w:rsidRDefault="009103BD" w:rsidP="00325FD5">
      <w:pPr>
        <w:spacing w:before="240"/>
        <w:ind w:left="720" w:hanging="720"/>
        <w:jc w:val="both"/>
        <w:rPr>
          <w:rFonts w:asciiTheme="majorBidi" w:hAnsiTheme="majorBidi" w:cstheme="majorBidi"/>
          <w:iCs/>
        </w:rPr>
      </w:pPr>
      <w:r w:rsidRPr="00580634">
        <w:rPr>
          <w:rFonts w:asciiTheme="majorBidi" w:hAnsiTheme="majorBidi" w:cstheme="majorBidi"/>
        </w:rPr>
        <w:t xml:space="preserve">Coleman, Arica L. “What's intersectionality? Let these scholars explain the theory and its history.” </w:t>
      </w:r>
      <w:r w:rsidRPr="00580634">
        <w:rPr>
          <w:rFonts w:asciiTheme="majorBidi" w:hAnsiTheme="majorBidi" w:cstheme="majorBidi"/>
          <w:i/>
          <w:iCs/>
        </w:rPr>
        <w:t>Time</w:t>
      </w:r>
      <w:r w:rsidRPr="00580634">
        <w:rPr>
          <w:rFonts w:asciiTheme="majorBidi" w:hAnsiTheme="majorBidi" w:cstheme="majorBidi"/>
          <w:iCs/>
        </w:rPr>
        <w:t xml:space="preserve">, March 2019. </w:t>
      </w:r>
      <w:hyperlink r:id="rId11" w:history="1">
        <w:r w:rsidRPr="00580634">
          <w:rPr>
            <w:rStyle w:val="Hyperlink"/>
            <w:rFonts w:asciiTheme="majorBidi" w:hAnsiTheme="majorBidi" w:cstheme="majorBidi"/>
            <w:iCs/>
          </w:rPr>
          <w:t>https://time.com/5560575/intersectionality-theory/</w:t>
        </w:r>
      </w:hyperlink>
    </w:p>
    <w:p w14:paraId="00EA06AB" w14:textId="4B6031FD" w:rsidR="0074709E" w:rsidRPr="00580634" w:rsidRDefault="009103BD" w:rsidP="0015380E">
      <w:pPr>
        <w:spacing w:before="240"/>
        <w:ind w:left="720" w:hanging="720"/>
        <w:jc w:val="both"/>
        <w:rPr>
          <w:rFonts w:asciiTheme="majorBidi" w:hAnsiTheme="majorBidi" w:cstheme="majorBidi"/>
        </w:rPr>
      </w:pPr>
      <w:r w:rsidRPr="00580634">
        <w:rPr>
          <w:rFonts w:asciiTheme="majorBidi" w:hAnsiTheme="majorBidi" w:cstheme="majorBidi"/>
        </w:rPr>
        <w:t xml:space="preserve">Crenshaw, Kimberle W. “Demarginalizing the Intersection of Race and Sex: A black Feminist Critique of Antidiscrimination Doctrine.” </w:t>
      </w:r>
      <w:r w:rsidRPr="00580634">
        <w:rPr>
          <w:rFonts w:asciiTheme="majorBidi" w:hAnsiTheme="majorBidi" w:cstheme="majorBidi"/>
          <w:i/>
          <w:iCs/>
        </w:rPr>
        <w:t xml:space="preserve">University of Chicago Legal Forum, </w:t>
      </w:r>
      <w:r w:rsidRPr="00580634">
        <w:rPr>
          <w:rFonts w:asciiTheme="majorBidi" w:hAnsiTheme="majorBidi" w:cstheme="majorBidi"/>
        </w:rPr>
        <w:t xml:space="preserve">1989, pp. 139-168. </w:t>
      </w:r>
    </w:p>
    <w:p w14:paraId="2D0E7323" w14:textId="77777777" w:rsidR="0074709E" w:rsidRPr="00580634" w:rsidRDefault="009103BD" w:rsidP="00325FD5">
      <w:pPr>
        <w:spacing w:before="240"/>
        <w:ind w:left="720" w:hanging="720"/>
        <w:jc w:val="both"/>
        <w:rPr>
          <w:rFonts w:asciiTheme="majorBidi" w:hAnsiTheme="majorBidi" w:cstheme="majorBidi"/>
          <w:color w:val="76923C" w:themeColor="accent3" w:themeShade="BF"/>
        </w:rPr>
      </w:pPr>
      <w:r w:rsidRPr="00580634">
        <w:rPr>
          <w:rFonts w:asciiTheme="majorBidi" w:hAnsiTheme="majorBidi" w:cstheme="majorBidi"/>
        </w:rPr>
        <w:t xml:space="preserve">---.“Mapping the Margins: Intersectionality, Identity Politics, and Violence against Women of Color.” </w:t>
      </w:r>
      <w:r w:rsidRPr="00580634">
        <w:rPr>
          <w:rFonts w:asciiTheme="majorBidi" w:hAnsiTheme="majorBidi" w:cstheme="majorBidi"/>
          <w:i/>
          <w:iCs/>
        </w:rPr>
        <w:t>Stanford Law Review</w:t>
      </w:r>
      <w:r w:rsidRPr="00580634">
        <w:rPr>
          <w:rFonts w:asciiTheme="majorBidi" w:hAnsiTheme="majorBidi" w:cstheme="majorBidi"/>
        </w:rPr>
        <w:t xml:space="preserve">, vol. 43, no. 6, Jul 1991, pp. 1241-1299. </w:t>
      </w:r>
      <w:hyperlink r:id="rId12" w:history="1">
        <w:r w:rsidRPr="00580634">
          <w:rPr>
            <w:rStyle w:val="Hyperlink"/>
            <w:rFonts w:asciiTheme="majorBidi" w:eastAsiaTheme="minorHAnsi" w:hAnsiTheme="majorBidi" w:cstheme="majorBidi"/>
            <w:lang w:eastAsia="en-US"/>
          </w:rPr>
          <w:t>http://www.jstor.org/stable/1229039</w:t>
        </w:r>
      </w:hyperlink>
      <w:r w:rsidRPr="00580634">
        <w:rPr>
          <w:rFonts w:asciiTheme="majorBidi" w:eastAsiaTheme="minorHAnsi" w:hAnsiTheme="majorBidi" w:cstheme="majorBidi"/>
          <w:lang w:eastAsia="en-US"/>
        </w:rPr>
        <w:t xml:space="preserve"> </w:t>
      </w:r>
    </w:p>
    <w:p w14:paraId="1E63D538" w14:textId="77777777" w:rsidR="0074709E" w:rsidRPr="00580634" w:rsidRDefault="009103BD" w:rsidP="00325FD5">
      <w:pPr>
        <w:spacing w:before="240"/>
        <w:ind w:left="720" w:hanging="720"/>
        <w:jc w:val="both"/>
        <w:rPr>
          <w:rFonts w:asciiTheme="majorBidi" w:hAnsiTheme="majorBidi" w:cstheme="majorBidi"/>
        </w:rPr>
      </w:pPr>
      <w:r w:rsidRPr="00580634">
        <w:rPr>
          <w:rFonts w:asciiTheme="majorBidi" w:hAnsiTheme="majorBidi" w:cstheme="majorBidi"/>
        </w:rPr>
        <w:lastRenderedPageBreak/>
        <w:t xml:space="preserve">---. “Talking about Intersectionality. Interview with Kimberlé W. Crenshaw.” Conducted by Barbara Giovanna Bello and Letizia Mancini. </w:t>
      </w:r>
      <w:r w:rsidRPr="00580634">
        <w:rPr>
          <w:rFonts w:asciiTheme="majorBidi" w:hAnsiTheme="majorBidi" w:cstheme="majorBidi"/>
          <w:i/>
          <w:iCs/>
        </w:rPr>
        <w:t>Sociologia del Diritto</w:t>
      </w:r>
      <w:r w:rsidRPr="00580634">
        <w:rPr>
          <w:rFonts w:asciiTheme="majorBidi" w:hAnsiTheme="majorBidi" w:cstheme="majorBidi"/>
        </w:rPr>
        <w:t xml:space="preserve">, vol. 2, 2016. </w:t>
      </w:r>
    </w:p>
    <w:p w14:paraId="76F7799A" w14:textId="77777777" w:rsidR="0074709E" w:rsidRPr="00580634" w:rsidRDefault="009103BD" w:rsidP="00325FD5">
      <w:pPr>
        <w:spacing w:before="240"/>
        <w:ind w:left="720" w:hanging="720"/>
        <w:jc w:val="both"/>
        <w:rPr>
          <w:rFonts w:asciiTheme="majorBidi" w:hAnsiTheme="majorBidi" w:cstheme="majorBidi"/>
        </w:rPr>
      </w:pPr>
      <w:r w:rsidRPr="00580634">
        <w:rPr>
          <w:rFonts w:asciiTheme="majorBidi" w:hAnsiTheme="majorBidi" w:cstheme="majorBidi"/>
        </w:rPr>
        <w:t xml:space="preserve">Creswell, John W., and J. David Creswell. </w:t>
      </w:r>
      <w:r w:rsidRPr="00580634">
        <w:rPr>
          <w:rFonts w:asciiTheme="majorBidi" w:hAnsiTheme="majorBidi" w:cstheme="majorBidi"/>
          <w:i/>
          <w:iCs/>
        </w:rPr>
        <w:t xml:space="preserve">Research design: Qualitative, quantitative, and </w:t>
      </w:r>
      <w:r w:rsidRPr="00580634">
        <w:rPr>
          <w:rFonts w:asciiTheme="majorBidi" w:hAnsiTheme="majorBidi" w:cstheme="majorBidi"/>
        </w:rPr>
        <w:t>mixed</w:t>
      </w:r>
      <w:r w:rsidRPr="00580634">
        <w:rPr>
          <w:rFonts w:asciiTheme="majorBidi" w:hAnsiTheme="majorBidi" w:cstheme="majorBidi"/>
          <w:i/>
          <w:iCs/>
        </w:rPr>
        <w:t xml:space="preserve"> methods approaches</w:t>
      </w:r>
      <w:r w:rsidRPr="00580634">
        <w:rPr>
          <w:rFonts w:asciiTheme="majorBidi" w:hAnsiTheme="majorBidi" w:cstheme="majorBidi"/>
        </w:rPr>
        <w:t>. Sage publications, 2018.</w:t>
      </w:r>
    </w:p>
    <w:p w14:paraId="0F01109B" w14:textId="77777777" w:rsidR="0074709E" w:rsidRPr="00580634" w:rsidRDefault="009103BD" w:rsidP="00325FD5">
      <w:pPr>
        <w:spacing w:before="240"/>
        <w:ind w:left="720" w:hanging="720"/>
        <w:jc w:val="both"/>
        <w:rPr>
          <w:rFonts w:asciiTheme="majorBidi" w:hAnsiTheme="majorBidi" w:cstheme="majorBidi"/>
        </w:rPr>
      </w:pPr>
      <w:r w:rsidRPr="00580634">
        <w:rPr>
          <w:rFonts w:asciiTheme="majorBidi" w:hAnsiTheme="majorBidi" w:cstheme="majorBidi"/>
        </w:rPr>
        <w:t xml:space="preserve">Dani, Ahmad H. </w:t>
      </w:r>
      <w:r w:rsidRPr="00580634">
        <w:rPr>
          <w:rFonts w:asciiTheme="majorBidi" w:hAnsiTheme="majorBidi" w:cstheme="majorBidi"/>
          <w:i/>
          <w:iCs/>
        </w:rPr>
        <w:t>History of Northern Areas of Pakistan: Upto 2000 AD</w:t>
      </w:r>
      <w:r w:rsidRPr="00580634">
        <w:rPr>
          <w:rFonts w:asciiTheme="majorBidi" w:hAnsiTheme="majorBidi" w:cstheme="majorBidi"/>
        </w:rPr>
        <w:t>. Sang-E-Meel Publication, 2007.</w:t>
      </w:r>
    </w:p>
    <w:p w14:paraId="36E6CBB9" w14:textId="77777777" w:rsidR="0074709E" w:rsidRPr="00580634" w:rsidRDefault="009103BD" w:rsidP="00325FD5">
      <w:pPr>
        <w:spacing w:before="240"/>
        <w:ind w:left="720" w:hanging="720"/>
        <w:jc w:val="both"/>
        <w:rPr>
          <w:rFonts w:asciiTheme="majorBidi" w:hAnsiTheme="majorBidi" w:cstheme="majorBidi"/>
        </w:rPr>
      </w:pPr>
      <w:r w:rsidRPr="00580634">
        <w:rPr>
          <w:rFonts w:asciiTheme="majorBidi" w:hAnsiTheme="majorBidi" w:cstheme="majorBidi"/>
        </w:rPr>
        <w:t xml:space="preserve">Doubiago, Sharon. “Mama Coyote Talks to the Boys.” </w:t>
      </w:r>
      <w:r w:rsidRPr="00580634">
        <w:rPr>
          <w:rFonts w:asciiTheme="majorBidi" w:hAnsiTheme="majorBidi" w:cstheme="majorBidi"/>
          <w:i/>
          <w:iCs/>
        </w:rPr>
        <w:t>Healing the Wounds: The Promise of Ecofeminism</w:t>
      </w:r>
      <w:r w:rsidRPr="00580634">
        <w:rPr>
          <w:rFonts w:asciiTheme="majorBidi" w:hAnsiTheme="majorBidi" w:cstheme="majorBidi"/>
        </w:rPr>
        <w:t>, edited by Judith Plant, Philadelphia PA, 1989, pp. 40-45.</w:t>
      </w:r>
    </w:p>
    <w:p w14:paraId="4F2241A3" w14:textId="77777777" w:rsidR="0074709E" w:rsidRPr="00580634" w:rsidRDefault="009103BD" w:rsidP="00325FD5">
      <w:pPr>
        <w:spacing w:before="240"/>
        <w:ind w:left="720" w:hanging="720"/>
        <w:jc w:val="both"/>
        <w:rPr>
          <w:rFonts w:asciiTheme="majorBidi" w:hAnsiTheme="majorBidi" w:cstheme="majorBidi"/>
        </w:rPr>
      </w:pPr>
      <w:r w:rsidRPr="00580634">
        <w:rPr>
          <w:rFonts w:asciiTheme="majorBidi" w:hAnsiTheme="majorBidi" w:cstheme="majorBidi"/>
        </w:rPr>
        <w:t>Gaard</w:t>
      </w:r>
      <w:r w:rsidRPr="00580634">
        <w:rPr>
          <w:rStyle w:val="lrzxr"/>
          <w:rFonts w:asciiTheme="majorBidi" w:hAnsiTheme="majorBidi" w:cstheme="majorBidi"/>
        </w:rPr>
        <w:t xml:space="preserve">, Greta C., and Patrick D. Murphy. “Introduction.” </w:t>
      </w:r>
      <w:r w:rsidRPr="00580634">
        <w:rPr>
          <w:rFonts w:asciiTheme="majorBidi" w:hAnsiTheme="majorBidi" w:cstheme="majorBidi"/>
          <w:i/>
          <w:iCs/>
        </w:rPr>
        <w:t>Ecofeminist literary criticism: Theory, interpretation, pedagogy</w:t>
      </w:r>
      <w:r w:rsidRPr="00580634">
        <w:rPr>
          <w:rFonts w:asciiTheme="majorBidi" w:hAnsiTheme="majorBidi" w:cstheme="majorBidi"/>
        </w:rPr>
        <w:t>, edited by Greta Claire Gaard, and Patrick D. Murphy, University of Illinois Press, 1998, pp. 1-13.</w:t>
      </w:r>
    </w:p>
    <w:p w14:paraId="703CE45A" w14:textId="77777777" w:rsidR="0074709E" w:rsidRPr="00580634" w:rsidRDefault="009103BD" w:rsidP="00325FD5">
      <w:pPr>
        <w:spacing w:before="240"/>
        <w:ind w:left="720" w:hanging="720"/>
        <w:jc w:val="both"/>
        <w:rPr>
          <w:rFonts w:asciiTheme="majorBidi" w:hAnsiTheme="majorBidi" w:cstheme="majorBidi"/>
        </w:rPr>
      </w:pPr>
      <w:r w:rsidRPr="00580634">
        <w:rPr>
          <w:rFonts w:asciiTheme="majorBidi" w:hAnsiTheme="majorBidi" w:cstheme="majorBidi"/>
        </w:rPr>
        <w:t xml:space="preserve">Guerrero, Marie Anna Jaimes. “Civil rights versus sovereignty: Native American women in life and land struggles.” </w:t>
      </w:r>
      <w:r w:rsidRPr="00580634">
        <w:rPr>
          <w:rFonts w:asciiTheme="majorBidi" w:hAnsiTheme="majorBidi" w:cstheme="majorBidi"/>
          <w:i/>
          <w:iCs/>
        </w:rPr>
        <w:t>Feminist Genealogies, Colonial Legacies, Democratic Futures</w:t>
      </w:r>
      <w:r w:rsidRPr="00580634">
        <w:rPr>
          <w:rFonts w:asciiTheme="majorBidi" w:hAnsiTheme="majorBidi" w:cstheme="majorBidi"/>
        </w:rPr>
        <w:t>, edited by M. Jacqui Alexander and Chandra Talpade Mohanty, Routledge,1997, pp. 101-122.</w:t>
      </w:r>
    </w:p>
    <w:p w14:paraId="6B113E3D" w14:textId="77777777" w:rsidR="0074709E" w:rsidRPr="00580634" w:rsidRDefault="009103BD" w:rsidP="00325FD5">
      <w:pPr>
        <w:spacing w:before="240"/>
        <w:ind w:left="720" w:hanging="720"/>
        <w:jc w:val="both"/>
        <w:rPr>
          <w:rFonts w:asciiTheme="majorBidi" w:hAnsiTheme="majorBidi" w:cstheme="majorBidi"/>
        </w:rPr>
      </w:pPr>
      <w:r w:rsidRPr="00580634">
        <w:rPr>
          <w:rFonts w:asciiTheme="majorBidi" w:hAnsiTheme="majorBidi" w:cstheme="majorBidi"/>
        </w:rPr>
        <w:t xml:space="preserve">Hussaini, Sanobar. “Environmental Consciousness in Uzma Aslam Khan’s Novels ‘Trespassing’ and ‘Thinner than Skin’.” </w:t>
      </w:r>
      <w:r w:rsidRPr="00580634">
        <w:rPr>
          <w:rFonts w:asciiTheme="majorBidi" w:hAnsiTheme="majorBidi" w:cstheme="majorBidi"/>
          <w:i/>
          <w:iCs/>
        </w:rPr>
        <w:t>International Journal of Earth &amp; Environmental Sciences</w:t>
      </w:r>
      <w:r w:rsidRPr="00580634">
        <w:rPr>
          <w:rFonts w:asciiTheme="majorBidi" w:hAnsiTheme="majorBidi" w:cstheme="majorBidi"/>
        </w:rPr>
        <w:t xml:space="preserve">, vol. 3, no. 1, March 2018, pp. 9-15. </w:t>
      </w:r>
      <w:hyperlink r:id="rId13" w:history="1">
        <w:r w:rsidRPr="00580634">
          <w:rPr>
            <w:rStyle w:val="Hyperlink"/>
            <w:rFonts w:asciiTheme="majorBidi" w:eastAsiaTheme="minorHAnsi" w:hAnsiTheme="majorBidi" w:cstheme="majorBidi"/>
            <w:lang w:eastAsia="en-US"/>
          </w:rPr>
          <w:t>https://doi.org/10.5281/zenodo.3353736</w:t>
        </w:r>
      </w:hyperlink>
      <w:r w:rsidRPr="00580634">
        <w:rPr>
          <w:rFonts w:asciiTheme="majorBidi" w:eastAsiaTheme="minorHAnsi" w:hAnsiTheme="majorBidi" w:cstheme="majorBidi"/>
          <w:color w:val="0000FF"/>
          <w:lang w:eastAsia="en-US"/>
        </w:rPr>
        <w:t xml:space="preserve"> </w:t>
      </w:r>
    </w:p>
    <w:p w14:paraId="0F8D9995" w14:textId="77777777" w:rsidR="0074709E" w:rsidRPr="00580634" w:rsidRDefault="009103BD" w:rsidP="00325FD5">
      <w:pPr>
        <w:spacing w:before="240"/>
        <w:ind w:left="720" w:hanging="720"/>
        <w:jc w:val="both"/>
        <w:rPr>
          <w:rFonts w:asciiTheme="majorBidi" w:hAnsiTheme="majorBidi" w:cstheme="majorBidi"/>
        </w:rPr>
      </w:pPr>
      <w:r w:rsidRPr="00580634">
        <w:rPr>
          <w:rFonts w:asciiTheme="majorBidi" w:hAnsiTheme="majorBidi" w:cstheme="majorBidi"/>
        </w:rPr>
        <w:t xml:space="preserve">Jabeen, Neelam. “Ecofeminism and Pakistani Anglophone Literature.” </w:t>
      </w:r>
      <w:r w:rsidRPr="00580634">
        <w:rPr>
          <w:rFonts w:asciiTheme="majorBidi" w:hAnsiTheme="majorBidi" w:cstheme="majorBidi"/>
          <w:i/>
        </w:rPr>
        <w:t>Interventions</w:t>
      </w:r>
      <w:r w:rsidRPr="00580634">
        <w:rPr>
          <w:rFonts w:asciiTheme="majorBidi" w:hAnsiTheme="majorBidi" w:cstheme="majorBidi"/>
        </w:rPr>
        <w:t xml:space="preserve">, vol. 21, no. 3, 2019, pp. 354-366. </w:t>
      </w:r>
      <w:hyperlink r:id="rId14" w:history="1">
        <w:r w:rsidRPr="00580634">
          <w:rPr>
            <w:rStyle w:val="Hyperlink"/>
            <w:rFonts w:asciiTheme="majorBidi" w:eastAsiaTheme="minorHAnsi" w:hAnsiTheme="majorBidi" w:cstheme="majorBidi"/>
            <w:lang w:eastAsia="en-US"/>
          </w:rPr>
          <w:t>https://doi.org/10.1080/1369801X.2018.1558099</w:t>
        </w:r>
      </w:hyperlink>
      <w:r w:rsidRPr="00580634">
        <w:rPr>
          <w:rFonts w:asciiTheme="majorBidi" w:eastAsiaTheme="minorHAnsi" w:hAnsiTheme="majorBidi" w:cstheme="majorBidi"/>
          <w:lang w:eastAsia="en-US"/>
        </w:rPr>
        <w:t xml:space="preserve"> </w:t>
      </w:r>
    </w:p>
    <w:p w14:paraId="4649A080" w14:textId="77777777" w:rsidR="0074709E" w:rsidRPr="00580634" w:rsidRDefault="009103BD" w:rsidP="00325FD5">
      <w:pPr>
        <w:spacing w:before="240"/>
        <w:ind w:left="720" w:hanging="720"/>
        <w:jc w:val="both"/>
        <w:rPr>
          <w:rFonts w:asciiTheme="majorBidi" w:hAnsiTheme="majorBidi" w:cstheme="majorBidi"/>
        </w:rPr>
      </w:pPr>
      <w:r w:rsidRPr="00580634">
        <w:rPr>
          <w:rFonts w:asciiTheme="majorBidi" w:hAnsiTheme="majorBidi" w:cstheme="majorBidi"/>
        </w:rPr>
        <w:lastRenderedPageBreak/>
        <w:t xml:space="preserve">Kayani, Saima A. “Global War on Terror: The Cost Pakistan is Paying.” </w:t>
      </w:r>
      <w:r w:rsidRPr="00580634">
        <w:rPr>
          <w:rFonts w:asciiTheme="majorBidi" w:hAnsiTheme="majorBidi" w:cstheme="majorBidi"/>
          <w:i/>
          <w:iCs/>
        </w:rPr>
        <w:t>Margalla Papers</w:t>
      </w:r>
      <w:r w:rsidRPr="00580634">
        <w:rPr>
          <w:rFonts w:asciiTheme="majorBidi" w:hAnsiTheme="majorBidi" w:cstheme="majorBidi"/>
        </w:rPr>
        <w:t xml:space="preserve">, vol. 15, no. 2, 2011, pp. 1-16. </w:t>
      </w:r>
    </w:p>
    <w:p w14:paraId="119F3142" w14:textId="77777777" w:rsidR="0074709E" w:rsidRPr="00580634" w:rsidRDefault="009103BD" w:rsidP="00325FD5">
      <w:pPr>
        <w:spacing w:before="240"/>
        <w:ind w:left="720" w:hanging="720"/>
        <w:jc w:val="both"/>
        <w:rPr>
          <w:rFonts w:asciiTheme="majorBidi" w:hAnsiTheme="majorBidi" w:cstheme="majorBidi"/>
          <w:lang w:eastAsia="en-US"/>
        </w:rPr>
      </w:pPr>
      <w:r w:rsidRPr="00580634">
        <w:rPr>
          <w:rFonts w:asciiTheme="majorBidi" w:hAnsiTheme="majorBidi" w:cstheme="majorBidi"/>
        </w:rPr>
        <w:t xml:space="preserve">Khan, Uzma A. “Uzma Aslam Khan – Seconde Peau.” </w:t>
      </w:r>
      <w:r w:rsidRPr="00580634">
        <w:rPr>
          <w:rFonts w:asciiTheme="majorBidi" w:hAnsiTheme="majorBidi" w:cstheme="majorBidi"/>
          <w:i/>
        </w:rPr>
        <w:t>Mollat, Libraire</w:t>
      </w:r>
      <w:r w:rsidRPr="00580634">
        <w:rPr>
          <w:rFonts w:asciiTheme="majorBidi" w:hAnsiTheme="majorBidi" w:cstheme="majorBidi"/>
        </w:rPr>
        <w:t>, 2015.</w:t>
      </w:r>
      <w:r w:rsidRPr="00580634">
        <w:rPr>
          <w:rFonts w:asciiTheme="majorBidi" w:hAnsiTheme="majorBidi" w:cstheme="majorBidi"/>
          <w:color w:val="76923C" w:themeColor="accent3" w:themeShade="BF"/>
        </w:rPr>
        <w:t xml:space="preserve">   </w:t>
      </w:r>
      <w:hyperlink r:id="rId15" w:history="1">
        <w:r w:rsidRPr="00580634">
          <w:rPr>
            <w:rStyle w:val="Hyperlink"/>
            <w:rFonts w:asciiTheme="majorBidi" w:hAnsiTheme="majorBidi" w:cstheme="majorBidi"/>
          </w:rPr>
          <w:t>www.youtube.com/watch?v=dZTSAIRHktQ</w:t>
        </w:r>
      </w:hyperlink>
    </w:p>
    <w:p w14:paraId="233173E4" w14:textId="77777777" w:rsidR="0074709E" w:rsidRPr="00580634" w:rsidRDefault="009103BD" w:rsidP="00325FD5">
      <w:pPr>
        <w:spacing w:before="240"/>
        <w:jc w:val="both"/>
        <w:rPr>
          <w:rFonts w:asciiTheme="majorBidi" w:hAnsiTheme="majorBidi" w:cstheme="majorBidi"/>
        </w:rPr>
      </w:pPr>
      <w:r w:rsidRPr="00580634">
        <w:rPr>
          <w:rFonts w:asciiTheme="majorBidi" w:hAnsiTheme="majorBidi" w:cstheme="majorBidi"/>
        </w:rPr>
        <w:t xml:space="preserve">---. </w:t>
      </w:r>
      <w:r w:rsidRPr="00580634">
        <w:rPr>
          <w:rFonts w:asciiTheme="majorBidi" w:hAnsiTheme="majorBidi" w:cstheme="majorBidi"/>
          <w:i/>
        </w:rPr>
        <w:t>Thinner than Skin</w:t>
      </w:r>
      <w:r w:rsidRPr="00580634">
        <w:rPr>
          <w:rFonts w:asciiTheme="majorBidi" w:hAnsiTheme="majorBidi" w:cstheme="majorBidi"/>
        </w:rPr>
        <w:t>. ILQA Publications, 2019.</w:t>
      </w:r>
    </w:p>
    <w:p w14:paraId="3B37AD2C" w14:textId="77777777" w:rsidR="0074709E" w:rsidRPr="00580634" w:rsidRDefault="009103BD" w:rsidP="00325FD5">
      <w:pPr>
        <w:spacing w:before="240"/>
        <w:ind w:left="720" w:hanging="720"/>
        <w:jc w:val="both"/>
        <w:rPr>
          <w:rFonts w:asciiTheme="majorBidi" w:hAnsiTheme="majorBidi" w:cstheme="majorBidi"/>
        </w:rPr>
      </w:pPr>
      <w:r w:rsidRPr="00580634">
        <w:rPr>
          <w:rFonts w:asciiTheme="majorBidi" w:hAnsiTheme="majorBidi" w:cstheme="majorBidi"/>
        </w:rPr>
        <w:t>King, Ynestra. “The Ecology of Feminism and the Feminism of Ecology.” Environmentalism</w:t>
      </w:r>
      <w:r w:rsidRPr="00580634">
        <w:rPr>
          <w:rFonts w:asciiTheme="majorBidi" w:hAnsiTheme="majorBidi" w:cstheme="majorBidi"/>
          <w:i/>
          <w:iCs/>
        </w:rPr>
        <w:t>: Critical Concepts</w:t>
      </w:r>
      <w:r w:rsidRPr="00580634">
        <w:rPr>
          <w:rFonts w:asciiTheme="majorBidi" w:hAnsiTheme="majorBidi" w:cstheme="majorBidi"/>
        </w:rPr>
        <w:t xml:space="preserve"> edited by David Pepper, Frank Webster, George Revill,  Routledge, vol. 1, 2003, pp. 328-338.</w:t>
      </w:r>
    </w:p>
    <w:p w14:paraId="61FB456D" w14:textId="77777777" w:rsidR="0074709E" w:rsidRPr="00580634" w:rsidRDefault="009103BD" w:rsidP="00325FD5">
      <w:pPr>
        <w:spacing w:before="240"/>
        <w:jc w:val="both"/>
        <w:rPr>
          <w:rFonts w:asciiTheme="majorBidi" w:hAnsiTheme="majorBidi" w:cstheme="majorBidi"/>
        </w:rPr>
      </w:pPr>
      <w:r w:rsidRPr="00580634">
        <w:rPr>
          <w:rFonts w:asciiTheme="majorBidi" w:hAnsiTheme="majorBidi" w:cstheme="majorBidi"/>
        </w:rPr>
        <w:t xml:space="preserve">Maria, Mies, and Shiva Vandana. </w:t>
      </w:r>
      <w:r w:rsidRPr="00580634">
        <w:rPr>
          <w:rFonts w:asciiTheme="majorBidi" w:hAnsiTheme="majorBidi" w:cstheme="majorBidi"/>
          <w:i/>
        </w:rPr>
        <w:t>Ecofeminism</w:t>
      </w:r>
      <w:r w:rsidRPr="00580634">
        <w:rPr>
          <w:rFonts w:asciiTheme="majorBidi" w:hAnsiTheme="majorBidi" w:cstheme="majorBidi"/>
        </w:rPr>
        <w:t>. Zed Books, 2014.</w:t>
      </w:r>
    </w:p>
    <w:p w14:paraId="7FA35BA2" w14:textId="77777777" w:rsidR="0074709E" w:rsidRPr="00580634" w:rsidRDefault="009103BD" w:rsidP="00325FD5">
      <w:pPr>
        <w:spacing w:before="240"/>
        <w:ind w:left="720" w:hanging="720"/>
        <w:jc w:val="both"/>
        <w:rPr>
          <w:rFonts w:asciiTheme="majorBidi" w:eastAsiaTheme="minorHAnsi" w:hAnsiTheme="majorBidi" w:cstheme="majorBidi"/>
          <w:lang w:eastAsia="en-US"/>
        </w:rPr>
      </w:pPr>
      <w:r w:rsidRPr="00580634">
        <w:rPr>
          <w:rFonts w:asciiTheme="majorBidi" w:hAnsiTheme="majorBidi" w:cstheme="majorBidi"/>
        </w:rPr>
        <w:t>McCall</w:t>
      </w:r>
      <w:r w:rsidRPr="00580634">
        <w:rPr>
          <w:rFonts w:asciiTheme="majorBidi" w:eastAsiaTheme="minorHAnsi" w:hAnsiTheme="majorBidi" w:cstheme="majorBidi"/>
          <w:lang w:eastAsia="en-US"/>
        </w:rPr>
        <w:t xml:space="preserve">, Leslie. “The Complexity of Intersectionality.” </w:t>
      </w:r>
      <w:r w:rsidRPr="00580634">
        <w:rPr>
          <w:rFonts w:asciiTheme="majorBidi" w:eastAsiaTheme="minorHAnsi" w:hAnsiTheme="majorBidi" w:cstheme="majorBidi"/>
          <w:i/>
          <w:lang w:eastAsia="en-US"/>
        </w:rPr>
        <w:t>Signs</w:t>
      </w:r>
      <w:r w:rsidRPr="00580634">
        <w:rPr>
          <w:rFonts w:asciiTheme="majorBidi" w:eastAsiaTheme="minorHAnsi" w:hAnsiTheme="majorBidi" w:cstheme="majorBidi"/>
          <w:lang w:eastAsia="en-US"/>
        </w:rPr>
        <w:t xml:space="preserve">, vol. 30, no. 3, 2005, pp. 1771-800.  </w:t>
      </w:r>
      <w:hyperlink r:id="rId16" w:history="1">
        <w:r w:rsidRPr="00580634">
          <w:rPr>
            <w:rStyle w:val="Hyperlink"/>
            <w:rFonts w:asciiTheme="majorBidi" w:eastAsiaTheme="minorHAnsi" w:hAnsiTheme="majorBidi" w:cstheme="majorBidi"/>
            <w:lang w:eastAsia="en-US"/>
          </w:rPr>
          <w:t>http://www.jstor.org/stable/10.1086/426800</w:t>
        </w:r>
      </w:hyperlink>
      <w:r w:rsidRPr="00580634">
        <w:rPr>
          <w:rFonts w:asciiTheme="majorBidi" w:eastAsiaTheme="minorHAnsi" w:hAnsiTheme="majorBidi" w:cstheme="majorBidi"/>
          <w:lang w:eastAsia="en-US"/>
        </w:rPr>
        <w:t xml:space="preserve"> </w:t>
      </w:r>
    </w:p>
    <w:p w14:paraId="38FF4B6A" w14:textId="77777777" w:rsidR="0074709E" w:rsidRPr="00580634" w:rsidRDefault="009103BD" w:rsidP="00325FD5">
      <w:pPr>
        <w:spacing w:before="240"/>
        <w:jc w:val="both"/>
        <w:rPr>
          <w:rFonts w:asciiTheme="majorBidi" w:hAnsiTheme="majorBidi" w:cstheme="majorBidi"/>
        </w:rPr>
      </w:pPr>
      <w:r w:rsidRPr="00580634">
        <w:rPr>
          <w:rFonts w:asciiTheme="majorBidi" w:hAnsiTheme="majorBidi" w:cstheme="majorBidi"/>
        </w:rPr>
        <w:t xml:space="preserve">Merchant, Carolyn. </w:t>
      </w:r>
      <w:r w:rsidRPr="00580634">
        <w:rPr>
          <w:rFonts w:asciiTheme="majorBidi" w:hAnsiTheme="majorBidi" w:cstheme="majorBidi"/>
          <w:i/>
          <w:iCs/>
        </w:rPr>
        <w:t>Radical Ecology: The Search for a Livable World</w:t>
      </w:r>
      <w:r w:rsidRPr="00580634">
        <w:rPr>
          <w:rFonts w:asciiTheme="majorBidi" w:hAnsiTheme="majorBidi" w:cstheme="majorBidi"/>
        </w:rPr>
        <w:t>. Routledge, 2012.</w:t>
      </w:r>
    </w:p>
    <w:p w14:paraId="34FCFB33" w14:textId="77777777" w:rsidR="0074709E" w:rsidRPr="00580634" w:rsidRDefault="009103BD" w:rsidP="00325FD5">
      <w:pPr>
        <w:spacing w:before="240"/>
        <w:ind w:left="720" w:hanging="720"/>
        <w:jc w:val="both"/>
        <w:rPr>
          <w:rFonts w:asciiTheme="majorBidi" w:hAnsiTheme="majorBidi" w:cstheme="majorBidi"/>
          <w:lang w:eastAsia="en-US"/>
        </w:rPr>
      </w:pPr>
      <w:r w:rsidRPr="00580634">
        <w:rPr>
          <w:rFonts w:asciiTheme="majorBidi" w:hAnsiTheme="majorBidi" w:cstheme="majorBidi"/>
        </w:rPr>
        <w:t>Miles</w:t>
      </w:r>
      <w:r w:rsidRPr="00580634">
        <w:rPr>
          <w:rFonts w:asciiTheme="majorBidi" w:hAnsiTheme="majorBidi" w:cstheme="majorBidi"/>
          <w:lang w:eastAsia="en-US"/>
        </w:rPr>
        <w:t xml:space="preserve">, Kathryn. “Ecofeminism: Sociology and Environmentalism.” </w:t>
      </w:r>
      <w:r w:rsidRPr="00580634">
        <w:rPr>
          <w:rFonts w:asciiTheme="majorBidi" w:hAnsiTheme="majorBidi" w:cstheme="majorBidi"/>
          <w:i/>
          <w:lang w:eastAsia="en-US"/>
        </w:rPr>
        <w:t>Britannica</w:t>
      </w:r>
      <w:r w:rsidRPr="00580634">
        <w:rPr>
          <w:rFonts w:asciiTheme="majorBidi" w:hAnsiTheme="majorBidi" w:cstheme="majorBidi"/>
          <w:lang w:eastAsia="en-US"/>
        </w:rPr>
        <w:t xml:space="preserve">, 16 Nov 2018. </w:t>
      </w:r>
      <w:hyperlink r:id="rId17" w:history="1">
        <w:r w:rsidRPr="00580634">
          <w:rPr>
            <w:rStyle w:val="Hyperlink"/>
            <w:rFonts w:asciiTheme="majorBidi" w:hAnsiTheme="majorBidi" w:cstheme="majorBidi"/>
            <w:lang w:eastAsia="en-US"/>
          </w:rPr>
          <w:t>www.britannica.com/topic/ecofeminism</w:t>
        </w:r>
      </w:hyperlink>
      <w:r w:rsidRPr="00580634">
        <w:rPr>
          <w:rFonts w:asciiTheme="majorBidi" w:hAnsiTheme="majorBidi" w:cstheme="majorBidi"/>
          <w:lang w:eastAsia="en-US"/>
        </w:rPr>
        <w:t>.</w:t>
      </w:r>
    </w:p>
    <w:p w14:paraId="1DE0C6F9" w14:textId="3BF5C8E3" w:rsidR="0074709E" w:rsidRPr="00580634" w:rsidRDefault="009103BD" w:rsidP="00272110">
      <w:pPr>
        <w:spacing w:before="240"/>
        <w:ind w:left="720" w:hanging="720"/>
        <w:jc w:val="both"/>
        <w:rPr>
          <w:rFonts w:asciiTheme="majorBidi" w:hAnsiTheme="majorBidi" w:cstheme="majorBidi"/>
        </w:rPr>
      </w:pPr>
      <w:r w:rsidRPr="00580634">
        <w:rPr>
          <w:rFonts w:asciiTheme="majorBidi" w:hAnsiTheme="majorBidi" w:cstheme="majorBidi"/>
        </w:rPr>
        <w:t xml:space="preserve">Nazir, Naila, et al. “Forest Wood Consumption and Wood Shortage in Pakistan: Estimation and Projection through System Dynamics.” </w:t>
      </w:r>
      <w:r w:rsidRPr="00580634">
        <w:rPr>
          <w:rFonts w:asciiTheme="majorBidi" w:hAnsiTheme="majorBidi" w:cstheme="majorBidi"/>
          <w:i/>
          <w:iCs/>
        </w:rPr>
        <w:t>The Pakistan Development Review</w:t>
      </w:r>
      <w:r w:rsidRPr="00580634">
        <w:rPr>
          <w:rFonts w:asciiTheme="majorBidi" w:hAnsiTheme="majorBidi" w:cstheme="majorBidi"/>
        </w:rPr>
        <w:t xml:space="preserve">, vol. 57, no. 1, 2018, pp. 73-98. </w:t>
      </w:r>
      <w:hyperlink r:id="rId18" w:history="1">
        <w:r w:rsidRPr="00580634">
          <w:rPr>
            <w:rStyle w:val="Hyperlink"/>
            <w:rFonts w:asciiTheme="majorBidi" w:hAnsiTheme="majorBidi" w:cstheme="majorBidi"/>
          </w:rPr>
          <w:t>https://www.jstor.org/stable/44986435</w:t>
        </w:r>
      </w:hyperlink>
      <w:r w:rsidRPr="00580634">
        <w:rPr>
          <w:rFonts w:asciiTheme="majorBidi" w:hAnsiTheme="majorBidi" w:cstheme="majorBidi"/>
        </w:rPr>
        <w:t xml:space="preserve"> </w:t>
      </w:r>
    </w:p>
    <w:p w14:paraId="533E0BEF" w14:textId="77777777" w:rsidR="0074709E" w:rsidRPr="00580634" w:rsidRDefault="009103BD" w:rsidP="00325FD5">
      <w:pPr>
        <w:spacing w:before="240"/>
        <w:ind w:left="720" w:hanging="720"/>
        <w:jc w:val="both"/>
        <w:rPr>
          <w:rFonts w:asciiTheme="majorBidi" w:hAnsiTheme="majorBidi" w:cstheme="majorBidi"/>
        </w:rPr>
      </w:pPr>
      <w:r w:rsidRPr="00580634">
        <w:rPr>
          <w:rFonts w:asciiTheme="majorBidi" w:hAnsiTheme="majorBidi" w:cstheme="majorBidi"/>
        </w:rPr>
        <w:t xml:space="preserve">Nixon, Rob. </w:t>
      </w:r>
      <w:r w:rsidRPr="00580634">
        <w:rPr>
          <w:rFonts w:asciiTheme="majorBidi" w:hAnsiTheme="majorBidi" w:cstheme="majorBidi"/>
          <w:i/>
          <w:iCs/>
        </w:rPr>
        <w:t xml:space="preserve">Slow Violence and the Environmentalism of the Poor. </w:t>
      </w:r>
      <w:r w:rsidRPr="00580634">
        <w:rPr>
          <w:rFonts w:asciiTheme="majorBidi" w:hAnsiTheme="majorBidi" w:cstheme="majorBidi"/>
        </w:rPr>
        <w:t>Harvard University Press, 2011.</w:t>
      </w:r>
    </w:p>
    <w:p w14:paraId="0E5CA2A0" w14:textId="77777777" w:rsidR="0074709E" w:rsidRPr="00580634" w:rsidRDefault="009103BD" w:rsidP="00325FD5">
      <w:pPr>
        <w:spacing w:before="240"/>
        <w:ind w:left="720" w:hanging="720"/>
        <w:jc w:val="both"/>
        <w:rPr>
          <w:rFonts w:asciiTheme="majorBidi" w:hAnsiTheme="majorBidi" w:cstheme="majorBidi"/>
        </w:rPr>
      </w:pPr>
      <w:r w:rsidRPr="00580634">
        <w:rPr>
          <w:rFonts w:asciiTheme="majorBidi" w:hAnsiTheme="majorBidi" w:cstheme="majorBidi"/>
        </w:rPr>
        <w:t xml:space="preserve">---. “Slow Violence in the Anthropocene: An Interview with Rob Nixon on Communication, Media, and the Environmental Humanities.” Conducted by Miyase Christensen. </w:t>
      </w:r>
      <w:r w:rsidRPr="00580634">
        <w:rPr>
          <w:rFonts w:asciiTheme="majorBidi" w:hAnsiTheme="majorBidi" w:cstheme="majorBidi"/>
          <w:i/>
          <w:iCs/>
        </w:rPr>
        <w:t>Environmental Communication</w:t>
      </w:r>
      <w:r w:rsidRPr="00580634">
        <w:rPr>
          <w:rFonts w:asciiTheme="majorBidi" w:hAnsiTheme="majorBidi" w:cstheme="majorBidi"/>
        </w:rPr>
        <w:t>, vol. 12, no. 1, Aug 2017, pp. 7-14.</w:t>
      </w:r>
    </w:p>
    <w:p w14:paraId="12D77C97" w14:textId="77777777" w:rsidR="0074709E" w:rsidRPr="00580634" w:rsidRDefault="009103BD" w:rsidP="00325FD5">
      <w:pPr>
        <w:spacing w:before="240"/>
        <w:ind w:left="720" w:hanging="720"/>
        <w:jc w:val="both"/>
        <w:rPr>
          <w:rFonts w:asciiTheme="majorBidi" w:hAnsiTheme="majorBidi" w:cstheme="majorBidi"/>
        </w:rPr>
      </w:pPr>
      <w:r w:rsidRPr="00580634">
        <w:rPr>
          <w:rFonts w:asciiTheme="majorBidi" w:hAnsiTheme="majorBidi" w:cstheme="majorBidi"/>
        </w:rPr>
        <w:lastRenderedPageBreak/>
        <w:t>Spretnak</w:t>
      </w:r>
      <w:r w:rsidRPr="00580634">
        <w:rPr>
          <w:rFonts w:asciiTheme="majorBidi" w:eastAsia="JansonText-Roman" w:hAnsiTheme="majorBidi" w:cstheme="majorBidi"/>
        </w:rPr>
        <w:t>,</w:t>
      </w:r>
      <w:r w:rsidRPr="00580634">
        <w:rPr>
          <w:rFonts w:asciiTheme="majorBidi" w:hAnsiTheme="majorBidi" w:cstheme="majorBidi"/>
        </w:rPr>
        <w:t xml:space="preserve"> Charlene</w:t>
      </w:r>
      <w:r w:rsidRPr="00580634">
        <w:rPr>
          <w:rFonts w:asciiTheme="majorBidi" w:eastAsia="JansonText-Roman" w:hAnsiTheme="majorBidi" w:cstheme="majorBidi"/>
        </w:rPr>
        <w:t xml:space="preserve">. “Towards an Ecofeminist Spirituality”. </w:t>
      </w:r>
      <w:r w:rsidRPr="00580634">
        <w:rPr>
          <w:rFonts w:asciiTheme="majorBidi" w:eastAsia="JansonText-Roman" w:hAnsiTheme="majorBidi" w:cstheme="majorBidi"/>
          <w:i/>
          <w:iCs/>
        </w:rPr>
        <w:t>Healing the Wounds: The Promise of Ecofeminism</w:t>
      </w:r>
      <w:r w:rsidRPr="00580634">
        <w:rPr>
          <w:rFonts w:asciiTheme="majorBidi" w:eastAsia="JansonText-Roman" w:hAnsiTheme="majorBidi" w:cstheme="majorBidi"/>
        </w:rPr>
        <w:t xml:space="preserve">, </w:t>
      </w:r>
      <w:r w:rsidRPr="00580634">
        <w:rPr>
          <w:rFonts w:asciiTheme="majorBidi" w:hAnsiTheme="majorBidi" w:cstheme="majorBidi"/>
        </w:rPr>
        <w:t>edited by Judith Plant, Philadelphia PA, 1989, pp. 127-152.</w:t>
      </w:r>
    </w:p>
    <w:p w14:paraId="6FD363A0" w14:textId="77777777" w:rsidR="0074709E" w:rsidRPr="00580634" w:rsidRDefault="009103BD" w:rsidP="00325FD5">
      <w:pPr>
        <w:spacing w:before="240"/>
        <w:ind w:left="720" w:hanging="720"/>
        <w:jc w:val="both"/>
        <w:rPr>
          <w:rFonts w:asciiTheme="majorBidi" w:hAnsiTheme="majorBidi" w:cstheme="majorBidi"/>
        </w:rPr>
      </w:pPr>
      <w:r w:rsidRPr="00580634">
        <w:rPr>
          <w:rFonts w:asciiTheme="majorBidi" w:hAnsiTheme="majorBidi" w:cstheme="majorBidi"/>
        </w:rPr>
        <w:t xml:space="preserve">Tucker, Richard P. “Mountain Minorities and Ecological Change in the Himalayas.” </w:t>
      </w:r>
      <w:r w:rsidRPr="00580634">
        <w:rPr>
          <w:rFonts w:asciiTheme="majorBidi" w:hAnsiTheme="majorBidi" w:cstheme="majorBidi"/>
          <w:i/>
          <w:iCs/>
        </w:rPr>
        <w:t>Cultural Survival Quarterly</w:t>
      </w:r>
      <w:r w:rsidRPr="00580634">
        <w:rPr>
          <w:rFonts w:asciiTheme="majorBidi" w:hAnsiTheme="majorBidi" w:cstheme="majorBidi"/>
        </w:rPr>
        <w:t>, vol. 10, 2010, pp. 40-42</w:t>
      </w:r>
    </w:p>
    <w:p w14:paraId="1BA1E8DD" w14:textId="77777777" w:rsidR="0074709E" w:rsidRPr="00580634" w:rsidRDefault="009103BD" w:rsidP="00325FD5">
      <w:pPr>
        <w:spacing w:before="240"/>
        <w:ind w:left="720" w:hanging="720"/>
        <w:jc w:val="both"/>
        <w:rPr>
          <w:rFonts w:asciiTheme="majorBidi" w:hAnsiTheme="majorBidi" w:cstheme="majorBidi"/>
        </w:rPr>
      </w:pPr>
      <w:r w:rsidRPr="00580634">
        <w:rPr>
          <w:rFonts w:asciiTheme="majorBidi" w:hAnsiTheme="majorBidi" w:cstheme="majorBidi"/>
        </w:rPr>
        <w:t xml:space="preserve">Wahab, Abdul, et al. “Countering Western Feminism: A Pakistani Feminist Perspective in Shandana Minhas’ </w:t>
      </w:r>
      <w:r w:rsidRPr="00580634">
        <w:rPr>
          <w:rFonts w:asciiTheme="majorBidi" w:hAnsiTheme="majorBidi" w:cstheme="majorBidi"/>
          <w:i/>
        </w:rPr>
        <w:t>Tunnel Vision</w:t>
      </w:r>
      <w:r w:rsidRPr="00580634">
        <w:rPr>
          <w:rFonts w:asciiTheme="majorBidi" w:hAnsiTheme="majorBidi" w:cstheme="majorBidi"/>
        </w:rPr>
        <w:t xml:space="preserve"> and Uzma Aslam Khan’s </w:t>
      </w:r>
      <w:r w:rsidRPr="00580634">
        <w:rPr>
          <w:rFonts w:asciiTheme="majorBidi" w:hAnsiTheme="majorBidi" w:cstheme="majorBidi"/>
          <w:i/>
        </w:rPr>
        <w:t>Thinner than Skin</w:t>
      </w:r>
      <w:r w:rsidRPr="00580634">
        <w:rPr>
          <w:rFonts w:asciiTheme="majorBidi" w:hAnsiTheme="majorBidi" w:cstheme="majorBidi"/>
        </w:rPr>
        <w:t xml:space="preserve">.” </w:t>
      </w:r>
      <w:r w:rsidRPr="00580634">
        <w:rPr>
          <w:rFonts w:asciiTheme="majorBidi" w:hAnsiTheme="majorBidi" w:cstheme="majorBidi"/>
          <w:i/>
        </w:rPr>
        <w:t xml:space="preserve">VFAST </w:t>
      </w:r>
      <w:r w:rsidRPr="00580634">
        <w:rPr>
          <w:rFonts w:asciiTheme="majorBidi" w:hAnsiTheme="majorBidi" w:cstheme="majorBidi"/>
        </w:rPr>
        <w:t>Transactions</w:t>
      </w:r>
      <w:r w:rsidRPr="00580634">
        <w:rPr>
          <w:rFonts w:asciiTheme="majorBidi" w:hAnsiTheme="majorBidi" w:cstheme="majorBidi"/>
          <w:i/>
        </w:rPr>
        <w:t xml:space="preserve"> on Education and Social Sciences</w:t>
      </w:r>
      <w:r w:rsidRPr="00580634">
        <w:rPr>
          <w:rFonts w:asciiTheme="majorBidi" w:hAnsiTheme="majorBidi" w:cstheme="majorBidi"/>
        </w:rPr>
        <w:t xml:space="preserve">, vol. 9, no. 4, Oct 2021, pp. 256-261. </w:t>
      </w:r>
      <w:hyperlink r:id="rId19" w:history="1">
        <w:r w:rsidRPr="00580634">
          <w:rPr>
            <w:rStyle w:val="Hyperlink"/>
            <w:rFonts w:asciiTheme="majorBidi" w:hAnsiTheme="majorBidi" w:cstheme="majorBidi"/>
          </w:rPr>
          <w:t>https://vfast.org/journals/index.php/VTESS/article/view/802</w:t>
        </w:r>
      </w:hyperlink>
      <w:r w:rsidRPr="00580634">
        <w:rPr>
          <w:rFonts w:asciiTheme="majorBidi" w:hAnsiTheme="majorBidi" w:cstheme="majorBidi"/>
        </w:rPr>
        <w:t xml:space="preserve"> </w:t>
      </w:r>
    </w:p>
    <w:sectPr w:rsidR="0074709E" w:rsidRPr="00580634" w:rsidSect="00272110">
      <w:headerReference w:type="default" r:id="rId20"/>
      <w:pgSz w:w="12240" w:h="15840" w:code="1"/>
      <w:pgMar w:top="3168" w:right="2376" w:bottom="3168" w:left="2376" w:header="706" w:footer="706" w:gutter="0"/>
      <w:pgNumType w:start="9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5BFB4" w14:textId="77777777" w:rsidR="00792C03" w:rsidRDefault="00792C03">
      <w:r>
        <w:separator/>
      </w:r>
    </w:p>
  </w:endnote>
  <w:endnote w:type="continuationSeparator" w:id="0">
    <w:p w14:paraId="6E309D46" w14:textId="77777777" w:rsidR="00792C03" w:rsidRDefault="00792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
    <w:altName w:val="Yu Gothic"/>
    <w:charset w:val="80"/>
    <w:family w:val="auto"/>
    <w:pitch w:val="default"/>
    <w:sig w:usb0="00000000" w:usb1="00000000" w:usb2="00000010" w:usb3="00000000" w:csb0="00020000" w:csb1="00000000"/>
  </w:font>
  <w:font w:name="JansonText-Roman">
    <w:altName w:val="Malgun Gothic"/>
    <w:charset w:val="81"/>
    <w:family w:val="auto"/>
    <w:pitch w:val="default"/>
    <w:sig w:usb0="00000000" w:usb1="0000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E9550" w14:textId="77777777" w:rsidR="00792C03" w:rsidRDefault="00792C03">
      <w:r>
        <w:separator/>
      </w:r>
    </w:p>
  </w:footnote>
  <w:footnote w:type="continuationSeparator" w:id="0">
    <w:p w14:paraId="03B2F07C" w14:textId="77777777" w:rsidR="00792C03" w:rsidRDefault="00792C03">
      <w:r>
        <w:continuationSeparator/>
      </w:r>
    </w:p>
  </w:footnote>
  <w:footnote w:id="1">
    <w:p w14:paraId="339D7817" w14:textId="024D11ED" w:rsidR="00AA7214" w:rsidRPr="00AA7214" w:rsidRDefault="00AA7214" w:rsidP="00AA7214">
      <w:pPr>
        <w:pStyle w:val="FootnoteText"/>
      </w:pPr>
      <w:r>
        <w:rPr>
          <w:rStyle w:val="FootnoteReference"/>
        </w:rPr>
        <w:footnoteRef/>
      </w:r>
      <w:r>
        <w:t xml:space="preserve"> PhD Scholar at Department of English, Fatima Jinnah Women University, Rawalpindi</w:t>
      </w:r>
      <w:r w:rsidR="00653FC5">
        <w:t xml:space="preserve"> </w:t>
      </w:r>
      <w:r w:rsidR="00653FC5" w:rsidRPr="00653FC5">
        <w:t>and an Associate Professor at FGEI(C/G)</w:t>
      </w:r>
    </w:p>
  </w:footnote>
  <w:footnote w:id="2">
    <w:p w14:paraId="02781C8C" w14:textId="71FD439F" w:rsidR="00AA7214" w:rsidRPr="00AA7214" w:rsidRDefault="00AA7214">
      <w:pPr>
        <w:pStyle w:val="FootnoteText"/>
        <w:rPr>
          <w:lang w:val="en-US"/>
        </w:rPr>
      </w:pPr>
      <w:r>
        <w:rPr>
          <w:rStyle w:val="FootnoteReference"/>
        </w:rPr>
        <w:footnoteRef/>
      </w:r>
      <w:r>
        <w:t xml:space="preserve"> </w:t>
      </w:r>
      <w:r w:rsidR="00653FC5">
        <w:t xml:space="preserve">Professor </w:t>
      </w:r>
      <w:r w:rsidR="00D56938">
        <w:t>of</w:t>
      </w:r>
      <w:r w:rsidR="00653FC5">
        <w:t xml:space="preserve"> English, </w:t>
      </w:r>
      <w:r>
        <w:t>Foundation University School of Science and Technology, Rawalpindi</w:t>
      </w:r>
    </w:p>
  </w:footnote>
  <w:footnote w:id="3">
    <w:p w14:paraId="605E16FA" w14:textId="77777777" w:rsidR="0074709E" w:rsidRDefault="0074709E">
      <w:pPr>
        <w:pStyle w:val="FootnoteText"/>
      </w:pPr>
    </w:p>
  </w:footnote>
  <w:footnote w:id="4">
    <w:p w14:paraId="14A46FDB" w14:textId="77777777" w:rsidR="0074709E" w:rsidRDefault="0074709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E7470" w14:textId="77777777" w:rsidR="0092068A" w:rsidRDefault="0092068A" w:rsidP="0092068A">
    <w:pPr>
      <w:pStyle w:val="Header"/>
      <w:pBdr>
        <w:bottom w:val="single" w:sz="4" w:space="1" w:color="auto"/>
      </w:pBdr>
      <w:jc w:val="right"/>
      <w:rPr>
        <w:rFonts w:asciiTheme="minorHAnsi" w:hAnsiTheme="minorHAnsi" w:cstheme="minorHAnsi"/>
        <w:sz w:val="22"/>
        <w:szCs w:val="22"/>
      </w:rPr>
    </w:pPr>
  </w:p>
  <w:p w14:paraId="2855BB70" w14:textId="77777777" w:rsidR="0092068A" w:rsidRPr="0092068A" w:rsidRDefault="0092068A" w:rsidP="0092068A">
    <w:pPr>
      <w:pStyle w:val="Header"/>
      <w:pBdr>
        <w:bottom w:val="single" w:sz="4" w:space="1" w:color="auto"/>
      </w:pBdr>
      <w:jc w:val="right"/>
      <w:rPr>
        <w:rFonts w:asciiTheme="minorHAnsi" w:hAnsiTheme="minorHAnsi" w:cstheme="minorHAnsi"/>
        <w:sz w:val="22"/>
        <w:szCs w:val="22"/>
      </w:rPr>
    </w:pPr>
  </w:p>
  <w:p w14:paraId="7C048DDA" w14:textId="77777777" w:rsidR="0092068A" w:rsidRPr="0092068A" w:rsidRDefault="0092068A" w:rsidP="0092068A">
    <w:pPr>
      <w:pStyle w:val="Header"/>
      <w:pBdr>
        <w:bottom w:val="single" w:sz="4" w:space="1" w:color="auto"/>
      </w:pBdr>
      <w:jc w:val="right"/>
      <w:rPr>
        <w:rFonts w:asciiTheme="minorHAnsi" w:hAnsiTheme="minorHAnsi" w:cstheme="minorHAnsi"/>
        <w:sz w:val="22"/>
        <w:szCs w:val="22"/>
      </w:rPr>
    </w:pPr>
  </w:p>
  <w:p w14:paraId="55C2E00D" w14:textId="77777777" w:rsidR="0092068A" w:rsidRPr="0092068A" w:rsidRDefault="0092068A" w:rsidP="0092068A">
    <w:pPr>
      <w:pStyle w:val="Header"/>
      <w:pBdr>
        <w:bottom w:val="single" w:sz="4" w:space="1" w:color="auto"/>
      </w:pBdr>
      <w:jc w:val="right"/>
      <w:rPr>
        <w:rFonts w:asciiTheme="minorHAnsi" w:hAnsiTheme="minorHAnsi" w:cstheme="minorHAnsi"/>
        <w:sz w:val="22"/>
        <w:szCs w:val="22"/>
      </w:rPr>
    </w:pPr>
  </w:p>
  <w:p w14:paraId="301A364E" w14:textId="77777777" w:rsidR="0092068A" w:rsidRPr="0092068A" w:rsidRDefault="0092068A" w:rsidP="0092068A">
    <w:pPr>
      <w:pStyle w:val="Header"/>
      <w:pBdr>
        <w:bottom w:val="single" w:sz="4" w:space="1" w:color="auto"/>
      </w:pBdr>
      <w:jc w:val="right"/>
      <w:rPr>
        <w:rFonts w:asciiTheme="minorHAnsi" w:hAnsiTheme="minorHAnsi" w:cstheme="minorHAnsi"/>
        <w:sz w:val="22"/>
        <w:szCs w:val="22"/>
      </w:rPr>
    </w:pPr>
  </w:p>
  <w:p w14:paraId="78A2112B" w14:textId="77777777" w:rsidR="0092068A" w:rsidRPr="0092068A" w:rsidRDefault="0092068A" w:rsidP="0092068A">
    <w:pPr>
      <w:pStyle w:val="Header"/>
      <w:pBdr>
        <w:bottom w:val="single" w:sz="4" w:space="1" w:color="auto"/>
      </w:pBdr>
      <w:jc w:val="right"/>
      <w:rPr>
        <w:rFonts w:asciiTheme="minorHAnsi" w:hAnsiTheme="minorHAnsi" w:cstheme="minorHAnsi"/>
        <w:sz w:val="22"/>
        <w:szCs w:val="22"/>
      </w:rPr>
    </w:pPr>
  </w:p>
  <w:p w14:paraId="7C799FB8" w14:textId="77777777" w:rsidR="0092068A" w:rsidRPr="0092068A" w:rsidRDefault="0092068A" w:rsidP="0092068A">
    <w:pPr>
      <w:pStyle w:val="Header"/>
      <w:pBdr>
        <w:bottom w:val="single" w:sz="4" w:space="1" w:color="auto"/>
      </w:pBdr>
      <w:jc w:val="right"/>
      <w:rPr>
        <w:rFonts w:asciiTheme="minorHAnsi" w:hAnsiTheme="minorHAnsi" w:cstheme="minorHAnsi"/>
        <w:sz w:val="22"/>
        <w:szCs w:val="22"/>
      </w:rPr>
    </w:pPr>
  </w:p>
  <w:p w14:paraId="60F154D8" w14:textId="77777777" w:rsidR="0092068A" w:rsidRPr="0092068A" w:rsidRDefault="0092068A" w:rsidP="0092068A">
    <w:pPr>
      <w:pStyle w:val="Header"/>
      <w:pBdr>
        <w:bottom w:val="single" w:sz="4" w:space="1" w:color="auto"/>
      </w:pBdr>
      <w:jc w:val="right"/>
      <w:rPr>
        <w:rFonts w:asciiTheme="minorHAnsi" w:hAnsiTheme="minorHAnsi" w:cstheme="minorHAnsi"/>
        <w:sz w:val="22"/>
        <w:szCs w:val="22"/>
      </w:rPr>
    </w:pPr>
  </w:p>
  <w:p w14:paraId="2550DE2D" w14:textId="77777777" w:rsidR="0074709E" w:rsidRPr="00272110" w:rsidRDefault="00792C03" w:rsidP="0092068A">
    <w:pPr>
      <w:pStyle w:val="Header"/>
      <w:pBdr>
        <w:bottom w:val="single" w:sz="4" w:space="1" w:color="auto"/>
      </w:pBdr>
      <w:jc w:val="right"/>
      <w:rPr>
        <w:sz w:val="22"/>
        <w:szCs w:val="22"/>
      </w:rPr>
    </w:pPr>
    <w:sdt>
      <w:sdtPr>
        <w:rPr>
          <w:sz w:val="22"/>
          <w:szCs w:val="22"/>
        </w:rPr>
        <w:id w:val="1410741002"/>
        <w:docPartObj>
          <w:docPartGallery w:val="Page Numbers (Top of Page)"/>
          <w:docPartUnique/>
        </w:docPartObj>
      </w:sdtPr>
      <w:sdtEndPr>
        <w:rPr>
          <w:noProof/>
        </w:rPr>
      </w:sdtEndPr>
      <w:sdtContent>
        <w:r w:rsidR="0092068A" w:rsidRPr="00272110">
          <w:rPr>
            <w:sz w:val="22"/>
            <w:szCs w:val="22"/>
          </w:rPr>
          <w:fldChar w:fldCharType="begin"/>
        </w:r>
        <w:r w:rsidR="0092068A" w:rsidRPr="00272110">
          <w:rPr>
            <w:sz w:val="22"/>
            <w:szCs w:val="22"/>
          </w:rPr>
          <w:instrText xml:space="preserve"> PAGE   \* MERGEFORMAT </w:instrText>
        </w:r>
        <w:r w:rsidR="0092068A" w:rsidRPr="00272110">
          <w:rPr>
            <w:sz w:val="22"/>
            <w:szCs w:val="22"/>
          </w:rPr>
          <w:fldChar w:fldCharType="separate"/>
        </w:r>
        <w:r w:rsidR="00844602" w:rsidRPr="00272110">
          <w:rPr>
            <w:noProof/>
            <w:sz w:val="22"/>
            <w:szCs w:val="22"/>
          </w:rPr>
          <w:t>4</w:t>
        </w:r>
        <w:r w:rsidR="0092068A" w:rsidRPr="00272110">
          <w:rPr>
            <w:noProof/>
            <w:sz w:val="22"/>
            <w:szCs w:val="22"/>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6E34"/>
    <w:rsid w:val="00004E78"/>
    <w:rsid w:val="00007DF9"/>
    <w:rsid w:val="00014007"/>
    <w:rsid w:val="000143CD"/>
    <w:rsid w:val="0002072D"/>
    <w:rsid w:val="000232A1"/>
    <w:rsid w:val="0002413B"/>
    <w:rsid w:val="000377FB"/>
    <w:rsid w:val="0004700F"/>
    <w:rsid w:val="000640D7"/>
    <w:rsid w:val="000703DD"/>
    <w:rsid w:val="00073210"/>
    <w:rsid w:val="0009357E"/>
    <w:rsid w:val="000946E1"/>
    <w:rsid w:val="00094FCA"/>
    <w:rsid w:val="00096409"/>
    <w:rsid w:val="00096A94"/>
    <w:rsid w:val="000A44E6"/>
    <w:rsid w:val="000B3339"/>
    <w:rsid w:val="000B63E0"/>
    <w:rsid w:val="000C7E54"/>
    <w:rsid w:val="000E3144"/>
    <w:rsid w:val="000F37FC"/>
    <w:rsid w:val="00100B95"/>
    <w:rsid w:val="001026A1"/>
    <w:rsid w:val="00106236"/>
    <w:rsid w:val="001121D7"/>
    <w:rsid w:val="00114435"/>
    <w:rsid w:val="00114528"/>
    <w:rsid w:val="00120AD6"/>
    <w:rsid w:val="001337D9"/>
    <w:rsid w:val="00136411"/>
    <w:rsid w:val="00152C32"/>
    <w:rsid w:val="0015380E"/>
    <w:rsid w:val="00153E63"/>
    <w:rsid w:val="00181BC1"/>
    <w:rsid w:val="00184638"/>
    <w:rsid w:val="00190374"/>
    <w:rsid w:val="00193E6E"/>
    <w:rsid w:val="00194D34"/>
    <w:rsid w:val="001A09DB"/>
    <w:rsid w:val="001A3C4A"/>
    <w:rsid w:val="001A469F"/>
    <w:rsid w:val="001A718B"/>
    <w:rsid w:val="001B2222"/>
    <w:rsid w:val="001B630B"/>
    <w:rsid w:val="001B747A"/>
    <w:rsid w:val="001C3F88"/>
    <w:rsid w:val="001C4E6E"/>
    <w:rsid w:val="001D4315"/>
    <w:rsid w:val="001D66AC"/>
    <w:rsid w:val="001E25B4"/>
    <w:rsid w:val="001F13F6"/>
    <w:rsid w:val="001F1D68"/>
    <w:rsid w:val="001F2D9B"/>
    <w:rsid w:val="002065C4"/>
    <w:rsid w:val="00215099"/>
    <w:rsid w:val="00216FC7"/>
    <w:rsid w:val="00220687"/>
    <w:rsid w:val="00224AA8"/>
    <w:rsid w:val="00230C16"/>
    <w:rsid w:val="00237558"/>
    <w:rsid w:val="0023765C"/>
    <w:rsid w:val="00247048"/>
    <w:rsid w:val="00250E3B"/>
    <w:rsid w:val="00256FF6"/>
    <w:rsid w:val="00261228"/>
    <w:rsid w:val="00272110"/>
    <w:rsid w:val="00272320"/>
    <w:rsid w:val="00273EDF"/>
    <w:rsid w:val="00274276"/>
    <w:rsid w:val="0027796D"/>
    <w:rsid w:val="00277ABB"/>
    <w:rsid w:val="00280A2F"/>
    <w:rsid w:val="00280B8C"/>
    <w:rsid w:val="002849AF"/>
    <w:rsid w:val="00290E38"/>
    <w:rsid w:val="002911C6"/>
    <w:rsid w:val="002A0EB3"/>
    <w:rsid w:val="002A0EEA"/>
    <w:rsid w:val="002A1639"/>
    <w:rsid w:val="002A255D"/>
    <w:rsid w:val="002A2E43"/>
    <w:rsid w:val="002A5B16"/>
    <w:rsid w:val="002B07F6"/>
    <w:rsid w:val="002B0FB1"/>
    <w:rsid w:val="002B1D3E"/>
    <w:rsid w:val="002B40B6"/>
    <w:rsid w:val="002C13BD"/>
    <w:rsid w:val="002C15FC"/>
    <w:rsid w:val="002D18FE"/>
    <w:rsid w:val="002D2A31"/>
    <w:rsid w:val="002D7EE4"/>
    <w:rsid w:val="002E32F6"/>
    <w:rsid w:val="002F1F45"/>
    <w:rsid w:val="002F2505"/>
    <w:rsid w:val="002F4453"/>
    <w:rsid w:val="002F5720"/>
    <w:rsid w:val="002F58EE"/>
    <w:rsid w:val="002F7A45"/>
    <w:rsid w:val="0030172A"/>
    <w:rsid w:val="003108CE"/>
    <w:rsid w:val="0031527D"/>
    <w:rsid w:val="00316B08"/>
    <w:rsid w:val="00323627"/>
    <w:rsid w:val="00323757"/>
    <w:rsid w:val="00325FD5"/>
    <w:rsid w:val="00341C09"/>
    <w:rsid w:val="003452A8"/>
    <w:rsid w:val="003458EA"/>
    <w:rsid w:val="00346999"/>
    <w:rsid w:val="003478BD"/>
    <w:rsid w:val="00350EBD"/>
    <w:rsid w:val="003530C3"/>
    <w:rsid w:val="0035660D"/>
    <w:rsid w:val="00364318"/>
    <w:rsid w:val="003810BB"/>
    <w:rsid w:val="00383648"/>
    <w:rsid w:val="003843F9"/>
    <w:rsid w:val="0038678C"/>
    <w:rsid w:val="0039118B"/>
    <w:rsid w:val="00393D91"/>
    <w:rsid w:val="00397ABC"/>
    <w:rsid w:val="003A47B8"/>
    <w:rsid w:val="003A49D8"/>
    <w:rsid w:val="003A51FF"/>
    <w:rsid w:val="003B3555"/>
    <w:rsid w:val="003C5C28"/>
    <w:rsid w:val="003D169F"/>
    <w:rsid w:val="003D416A"/>
    <w:rsid w:val="003D6E34"/>
    <w:rsid w:val="003E23D9"/>
    <w:rsid w:val="003E5806"/>
    <w:rsid w:val="003E6C6A"/>
    <w:rsid w:val="003F1B39"/>
    <w:rsid w:val="003F450A"/>
    <w:rsid w:val="003F50E6"/>
    <w:rsid w:val="0040002F"/>
    <w:rsid w:val="00400C79"/>
    <w:rsid w:val="00400F32"/>
    <w:rsid w:val="004051CF"/>
    <w:rsid w:val="004053AD"/>
    <w:rsid w:val="0041423F"/>
    <w:rsid w:val="00426454"/>
    <w:rsid w:val="0043063A"/>
    <w:rsid w:val="004321B9"/>
    <w:rsid w:val="004340B2"/>
    <w:rsid w:val="00435712"/>
    <w:rsid w:val="00446B92"/>
    <w:rsid w:val="004474B9"/>
    <w:rsid w:val="00451917"/>
    <w:rsid w:val="004573F5"/>
    <w:rsid w:val="00464D96"/>
    <w:rsid w:val="00480D9D"/>
    <w:rsid w:val="00485EBC"/>
    <w:rsid w:val="00490654"/>
    <w:rsid w:val="00492E4E"/>
    <w:rsid w:val="004964DF"/>
    <w:rsid w:val="004C10D3"/>
    <w:rsid w:val="004E0F08"/>
    <w:rsid w:val="004E18AC"/>
    <w:rsid w:val="004E595F"/>
    <w:rsid w:val="004F37D4"/>
    <w:rsid w:val="00500ADD"/>
    <w:rsid w:val="005103C9"/>
    <w:rsid w:val="00511452"/>
    <w:rsid w:val="00514D47"/>
    <w:rsid w:val="00521EF5"/>
    <w:rsid w:val="005236C7"/>
    <w:rsid w:val="00531385"/>
    <w:rsid w:val="00534F75"/>
    <w:rsid w:val="0053550A"/>
    <w:rsid w:val="00535A89"/>
    <w:rsid w:val="00541014"/>
    <w:rsid w:val="00547031"/>
    <w:rsid w:val="00552CCC"/>
    <w:rsid w:val="00572679"/>
    <w:rsid w:val="0057313C"/>
    <w:rsid w:val="00580634"/>
    <w:rsid w:val="005A091E"/>
    <w:rsid w:val="005B1422"/>
    <w:rsid w:val="005B164D"/>
    <w:rsid w:val="005B27DE"/>
    <w:rsid w:val="005B330E"/>
    <w:rsid w:val="005B5368"/>
    <w:rsid w:val="005C2370"/>
    <w:rsid w:val="005C5CBC"/>
    <w:rsid w:val="005D26E1"/>
    <w:rsid w:val="005D4F5C"/>
    <w:rsid w:val="005D58D5"/>
    <w:rsid w:val="005D6E56"/>
    <w:rsid w:val="005E0C41"/>
    <w:rsid w:val="005F6B9A"/>
    <w:rsid w:val="00602694"/>
    <w:rsid w:val="00607026"/>
    <w:rsid w:val="00607AF0"/>
    <w:rsid w:val="00613232"/>
    <w:rsid w:val="00613E1B"/>
    <w:rsid w:val="00617695"/>
    <w:rsid w:val="00620CF0"/>
    <w:rsid w:val="00621B73"/>
    <w:rsid w:val="006231A2"/>
    <w:rsid w:val="00625849"/>
    <w:rsid w:val="00631B43"/>
    <w:rsid w:val="00640464"/>
    <w:rsid w:val="00643877"/>
    <w:rsid w:val="00652B43"/>
    <w:rsid w:val="00653FC5"/>
    <w:rsid w:val="00656D71"/>
    <w:rsid w:val="00667816"/>
    <w:rsid w:val="00670E62"/>
    <w:rsid w:val="00673EFC"/>
    <w:rsid w:val="0067476B"/>
    <w:rsid w:val="00675452"/>
    <w:rsid w:val="00681194"/>
    <w:rsid w:val="00684DBF"/>
    <w:rsid w:val="006A456B"/>
    <w:rsid w:val="006A652F"/>
    <w:rsid w:val="006B382A"/>
    <w:rsid w:val="006B562E"/>
    <w:rsid w:val="006C286E"/>
    <w:rsid w:val="006C6FAD"/>
    <w:rsid w:val="006D74A7"/>
    <w:rsid w:val="006E2D37"/>
    <w:rsid w:val="006E3ED2"/>
    <w:rsid w:val="00700811"/>
    <w:rsid w:val="00704340"/>
    <w:rsid w:val="00717065"/>
    <w:rsid w:val="007342A5"/>
    <w:rsid w:val="0073433D"/>
    <w:rsid w:val="00736B00"/>
    <w:rsid w:val="00741AF5"/>
    <w:rsid w:val="007428A1"/>
    <w:rsid w:val="00743B4B"/>
    <w:rsid w:val="0074709E"/>
    <w:rsid w:val="00751FA6"/>
    <w:rsid w:val="007548EF"/>
    <w:rsid w:val="00761ADB"/>
    <w:rsid w:val="00763E17"/>
    <w:rsid w:val="007645C0"/>
    <w:rsid w:val="00765901"/>
    <w:rsid w:val="007741CF"/>
    <w:rsid w:val="00787FD1"/>
    <w:rsid w:val="007910AC"/>
    <w:rsid w:val="00792483"/>
    <w:rsid w:val="00792C03"/>
    <w:rsid w:val="00795A6A"/>
    <w:rsid w:val="00797808"/>
    <w:rsid w:val="007A560C"/>
    <w:rsid w:val="007B1EA1"/>
    <w:rsid w:val="007B7FC2"/>
    <w:rsid w:val="007C44BA"/>
    <w:rsid w:val="007D1488"/>
    <w:rsid w:val="007D1C5E"/>
    <w:rsid w:val="007D7390"/>
    <w:rsid w:val="007D7573"/>
    <w:rsid w:val="007F1444"/>
    <w:rsid w:val="007F529B"/>
    <w:rsid w:val="007F6DB3"/>
    <w:rsid w:val="008229D0"/>
    <w:rsid w:val="00827E46"/>
    <w:rsid w:val="008342E7"/>
    <w:rsid w:val="00835B8E"/>
    <w:rsid w:val="008412E7"/>
    <w:rsid w:val="00844602"/>
    <w:rsid w:val="00845065"/>
    <w:rsid w:val="00852282"/>
    <w:rsid w:val="0085273D"/>
    <w:rsid w:val="0085745A"/>
    <w:rsid w:val="008628B8"/>
    <w:rsid w:val="00863352"/>
    <w:rsid w:val="0087091F"/>
    <w:rsid w:val="00872855"/>
    <w:rsid w:val="00874DB9"/>
    <w:rsid w:val="008759DC"/>
    <w:rsid w:val="00875F0F"/>
    <w:rsid w:val="0087702B"/>
    <w:rsid w:val="008875AF"/>
    <w:rsid w:val="00892653"/>
    <w:rsid w:val="008965BC"/>
    <w:rsid w:val="00896B18"/>
    <w:rsid w:val="008A25C0"/>
    <w:rsid w:val="008A6B2A"/>
    <w:rsid w:val="008A6E45"/>
    <w:rsid w:val="008A7C77"/>
    <w:rsid w:val="008B3135"/>
    <w:rsid w:val="008C5D3B"/>
    <w:rsid w:val="008C71F7"/>
    <w:rsid w:val="008D3DA5"/>
    <w:rsid w:val="008E102B"/>
    <w:rsid w:val="008E52C6"/>
    <w:rsid w:val="008E7581"/>
    <w:rsid w:val="008F367B"/>
    <w:rsid w:val="009015D6"/>
    <w:rsid w:val="00905380"/>
    <w:rsid w:val="00905F6E"/>
    <w:rsid w:val="0090654C"/>
    <w:rsid w:val="009103BD"/>
    <w:rsid w:val="009136A3"/>
    <w:rsid w:val="0092068A"/>
    <w:rsid w:val="00921F56"/>
    <w:rsid w:val="00923025"/>
    <w:rsid w:val="0093457D"/>
    <w:rsid w:val="00944278"/>
    <w:rsid w:val="00950D57"/>
    <w:rsid w:val="00951634"/>
    <w:rsid w:val="00954512"/>
    <w:rsid w:val="00957695"/>
    <w:rsid w:val="00962BAC"/>
    <w:rsid w:val="0096308B"/>
    <w:rsid w:val="009630A0"/>
    <w:rsid w:val="00974049"/>
    <w:rsid w:val="00975E42"/>
    <w:rsid w:val="00976DFE"/>
    <w:rsid w:val="009771F7"/>
    <w:rsid w:val="0098791F"/>
    <w:rsid w:val="00990235"/>
    <w:rsid w:val="0099413F"/>
    <w:rsid w:val="009A2F0A"/>
    <w:rsid w:val="009A7C74"/>
    <w:rsid w:val="009B0759"/>
    <w:rsid w:val="009C3069"/>
    <w:rsid w:val="009C7373"/>
    <w:rsid w:val="009D67E4"/>
    <w:rsid w:val="009E497D"/>
    <w:rsid w:val="009E5669"/>
    <w:rsid w:val="009E744C"/>
    <w:rsid w:val="009F7F79"/>
    <w:rsid w:val="00A01AC6"/>
    <w:rsid w:val="00A0792A"/>
    <w:rsid w:val="00A1027C"/>
    <w:rsid w:val="00A121CE"/>
    <w:rsid w:val="00A12AC6"/>
    <w:rsid w:val="00A152A9"/>
    <w:rsid w:val="00A27BD7"/>
    <w:rsid w:val="00A43645"/>
    <w:rsid w:val="00A43799"/>
    <w:rsid w:val="00A63747"/>
    <w:rsid w:val="00A6634E"/>
    <w:rsid w:val="00A66908"/>
    <w:rsid w:val="00A678F1"/>
    <w:rsid w:val="00A83352"/>
    <w:rsid w:val="00A83E6D"/>
    <w:rsid w:val="00A84376"/>
    <w:rsid w:val="00A853E1"/>
    <w:rsid w:val="00A86A92"/>
    <w:rsid w:val="00A86DFA"/>
    <w:rsid w:val="00AA1ED4"/>
    <w:rsid w:val="00AA2A15"/>
    <w:rsid w:val="00AA7214"/>
    <w:rsid w:val="00AB1E30"/>
    <w:rsid w:val="00AC7B6B"/>
    <w:rsid w:val="00AC7EFA"/>
    <w:rsid w:val="00AE00C8"/>
    <w:rsid w:val="00AE35AB"/>
    <w:rsid w:val="00AE613F"/>
    <w:rsid w:val="00AF7D70"/>
    <w:rsid w:val="00B1155B"/>
    <w:rsid w:val="00B117D7"/>
    <w:rsid w:val="00B227D0"/>
    <w:rsid w:val="00B250EC"/>
    <w:rsid w:val="00B27402"/>
    <w:rsid w:val="00B34312"/>
    <w:rsid w:val="00B5059D"/>
    <w:rsid w:val="00B60420"/>
    <w:rsid w:val="00B631EF"/>
    <w:rsid w:val="00B63BA0"/>
    <w:rsid w:val="00B64A33"/>
    <w:rsid w:val="00B64B81"/>
    <w:rsid w:val="00B64D1A"/>
    <w:rsid w:val="00B65E84"/>
    <w:rsid w:val="00B717BA"/>
    <w:rsid w:val="00B741BA"/>
    <w:rsid w:val="00B81899"/>
    <w:rsid w:val="00B81AE8"/>
    <w:rsid w:val="00B83E54"/>
    <w:rsid w:val="00B845AA"/>
    <w:rsid w:val="00B927D1"/>
    <w:rsid w:val="00B96A80"/>
    <w:rsid w:val="00BA5BD5"/>
    <w:rsid w:val="00BA6A33"/>
    <w:rsid w:val="00BA792A"/>
    <w:rsid w:val="00BB3E5C"/>
    <w:rsid w:val="00BB7EED"/>
    <w:rsid w:val="00BD251C"/>
    <w:rsid w:val="00BD5FC6"/>
    <w:rsid w:val="00BD713A"/>
    <w:rsid w:val="00BD7F78"/>
    <w:rsid w:val="00BE0FE8"/>
    <w:rsid w:val="00BE2B2F"/>
    <w:rsid w:val="00BE3020"/>
    <w:rsid w:val="00BE4B5D"/>
    <w:rsid w:val="00BF44A2"/>
    <w:rsid w:val="00C00F53"/>
    <w:rsid w:val="00C04EAB"/>
    <w:rsid w:val="00C11F97"/>
    <w:rsid w:val="00C1429E"/>
    <w:rsid w:val="00C173BE"/>
    <w:rsid w:val="00C36701"/>
    <w:rsid w:val="00C41E54"/>
    <w:rsid w:val="00C42190"/>
    <w:rsid w:val="00C43E92"/>
    <w:rsid w:val="00C43FFD"/>
    <w:rsid w:val="00C5190E"/>
    <w:rsid w:val="00C52033"/>
    <w:rsid w:val="00C531A5"/>
    <w:rsid w:val="00C64D08"/>
    <w:rsid w:val="00C66359"/>
    <w:rsid w:val="00C71EF0"/>
    <w:rsid w:val="00C754A2"/>
    <w:rsid w:val="00C75BEA"/>
    <w:rsid w:val="00C8004C"/>
    <w:rsid w:val="00C823D7"/>
    <w:rsid w:val="00C85879"/>
    <w:rsid w:val="00C90BB8"/>
    <w:rsid w:val="00CA0AC0"/>
    <w:rsid w:val="00CA0DB3"/>
    <w:rsid w:val="00CA164D"/>
    <w:rsid w:val="00CA5F27"/>
    <w:rsid w:val="00CB67BA"/>
    <w:rsid w:val="00CB7728"/>
    <w:rsid w:val="00CB7AFC"/>
    <w:rsid w:val="00CC4D8E"/>
    <w:rsid w:val="00CC5920"/>
    <w:rsid w:val="00CC7B43"/>
    <w:rsid w:val="00CC7BE4"/>
    <w:rsid w:val="00CD26D9"/>
    <w:rsid w:val="00CD569B"/>
    <w:rsid w:val="00CD72FF"/>
    <w:rsid w:val="00CD785E"/>
    <w:rsid w:val="00CE0AD7"/>
    <w:rsid w:val="00D21C01"/>
    <w:rsid w:val="00D2318B"/>
    <w:rsid w:val="00D24EAF"/>
    <w:rsid w:val="00D27888"/>
    <w:rsid w:val="00D30DA0"/>
    <w:rsid w:val="00D45A20"/>
    <w:rsid w:val="00D507DF"/>
    <w:rsid w:val="00D51564"/>
    <w:rsid w:val="00D552E8"/>
    <w:rsid w:val="00D56938"/>
    <w:rsid w:val="00D56DFC"/>
    <w:rsid w:val="00D61F08"/>
    <w:rsid w:val="00D62CCB"/>
    <w:rsid w:val="00D814C9"/>
    <w:rsid w:val="00D83355"/>
    <w:rsid w:val="00D83BA9"/>
    <w:rsid w:val="00D85AD5"/>
    <w:rsid w:val="00D8684E"/>
    <w:rsid w:val="00D87036"/>
    <w:rsid w:val="00D87154"/>
    <w:rsid w:val="00DB0EA3"/>
    <w:rsid w:val="00DB1BD5"/>
    <w:rsid w:val="00DB5209"/>
    <w:rsid w:val="00DC0612"/>
    <w:rsid w:val="00DC20FC"/>
    <w:rsid w:val="00DE2841"/>
    <w:rsid w:val="00DE41F5"/>
    <w:rsid w:val="00DF22C9"/>
    <w:rsid w:val="00DF368B"/>
    <w:rsid w:val="00DF4378"/>
    <w:rsid w:val="00DF58A8"/>
    <w:rsid w:val="00E03B6A"/>
    <w:rsid w:val="00E0784A"/>
    <w:rsid w:val="00E169D1"/>
    <w:rsid w:val="00E22B0E"/>
    <w:rsid w:val="00E322AF"/>
    <w:rsid w:val="00E34B4B"/>
    <w:rsid w:val="00E4143F"/>
    <w:rsid w:val="00E45217"/>
    <w:rsid w:val="00E46D81"/>
    <w:rsid w:val="00E477DE"/>
    <w:rsid w:val="00E51D05"/>
    <w:rsid w:val="00E56AB4"/>
    <w:rsid w:val="00E6146F"/>
    <w:rsid w:val="00E61C84"/>
    <w:rsid w:val="00E657B7"/>
    <w:rsid w:val="00E7004D"/>
    <w:rsid w:val="00E90478"/>
    <w:rsid w:val="00E94E53"/>
    <w:rsid w:val="00E97B90"/>
    <w:rsid w:val="00EA2831"/>
    <w:rsid w:val="00EC79AE"/>
    <w:rsid w:val="00ED02BD"/>
    <w:rsid w:val="00ED207B"/>
    <w:rsid w:val="00ED6B78"/>
    <w:rsid w:val="00EE2403"/>
    <w:rsid w:val="00EE40C1"/>
    <w:rsid w:val="00EE544F"/>
    <w:rsid w:val="00EE784D"/>
    <w:rsid w:val="00F117A4"/>
    <w:rsid w:val="00F12C6B"/>
    <w:rsid w:val="00F24DA2"/>
    <w:rsid w:val="00F25503"/>
    <w:rsid w:val="00F27DB2"/>
    <w:rsid w:val="00F33458"/>
    <w:rsid w:val="00F40EDE"/>
    <w:rsid w:val="00F50F8B"/>
    <w:rsid w:val="00F522B2"/>
    <w:rsid w:val="00F64729"/>
    <w:rsid w:val="00F71B08"/>
    <w:rsid w:val="00F76053"/>
    <w:rsid w:val="00F838F0"/>
    <w:rsid w:val="00F85D64"/>
    <w:rsid w:val="00F86F84"/>
    <w:rsid w:val="00F877F4"/>
    <w:rsid w:val="00F9497F"/>
    <w:rsid w:val="00FA1436"/>
    <w:rsid w:val="00FA6633"/>
    <w:rsid w:val="00FB1217"/>
    <w:rsid w:val="00FB1FEA"/>
    <w:rsid w:val="00FB2850"/>
    <w:rsid w:val="00FB2FF3"/>
    <w:rsid w:val="00FD582E"/>
    <w:rsid w:val="00FD5EC7"/>
    <w:rsid w:val="00FD63B0"/>
    <w:rsid w:val="00FE0E76"/>
    <w:rsid w:val="00FE0EDE"/>
    <w:rsid w:val="00FE45D9"/>
    <w:rsid w:val="00FF1203"/>
    <w:rsid w:val="00FF222E"/>
    <w:rsid w:val="00FF39DF"/>
    <w:rsid w:val="00FF6E56"/>
    <w:rsid w:val="6F5D603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096BB"/>
  <w15:docId w15:val="{91BF02A6-1862-445F-B88C-CEB0D1D0D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lang w:val="en-GB" w:eastAsia="en-GB"/>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4">
    <w:name w:val="heading 4"/>
    <w:basedOn w:val="Normal"/>
    <w:link w:val="Heading4Char"/>
    <w:uiPriority w:val="9"/>
    <w:qFormat/>
    <w:pPr>
      <w:autoSpaceDE w:val="0"/>
      <w:autoSpaceDN w:val="0"/>
      <w:adjustRightInd w:val="0"/>
      <w:spacing w:before="100" w:beforeAutospacing="1" w:after="100" w:afterAutospacing="1"/>
      <w:outlineLvl w:val="3"/>
    </w:pPr>
    <w:rPr>
      <w:b/>
      <w:bCs/>
      <w:color w:val="215868" w:themeColor="accent5"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513"/>
        <w:tab w:val="right" w:pos="9026"/>
      </w:tabs>
    </w:p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qFormat/>
    <w:rPr>
      <w:sz w:val="20"/>
      <w:szCs w:val="20"/>
    </w:r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uiPriority w:val="99"/>
    <w:unhideWhenUsed/>
    <w:qFormat/>
    <w:rPr>
      <w:color w:val="0000FF"/>
      <w:u w:val="single"/>
    </w:rPr>
  </w:style>
  <w:style w:type="character" w:styleId="Strong">
    <w:name w:val="Strong"/>
    <w:uiPriority w:val="22"/>
    <w:qFormat/>
    <w:rPr>
      <w:b/>
      <w:bCs/>
    </w:rPr>
  </w:style>
  <w:style w:type="character" w:customStyle="1" w:styleId="Heading4Char">
    <w:name w:val="Heading 4 Char"/>
    <w:basedOn w:val="DefaultParagraphFont"/>
    <w:link w:val="Heading4"/>
    <w:uiPriority w:val="9"/>
    <w:qFormat/>
    <w:rPr>
      <w:rFonts w:ascii="Times New Roman" w:eastAsia="Times New Roman" w:hAnsi="Times New Roman" w:cs="Times New Roman"/>
      <w:b/>
      <w:bCs/>
      <w:sz w:val="24"/>
      <w:szCs w:val="24"/>
      <w:lang w:eastAsia="en-GB"/>
    </w:rPr>
  </w:style>
  <w:style w:type="paragraph" w:customStyle="1" w:styleId="AuthorInfo">
    <w:name w:val="Author Info"/>
    <w:basedOn w:val="Normal"/>
    <w:qFormat/>
    <w:pPr>
      <w:tabs>
        <w:tab w:val="right" w:pos="8640"/>
      </w:tabs>
      <w:spacing w:line="480" w:lineRule="auto"/>
      <w:jc w:val="center"/>
    </w:pPr>
    <w:rPr>
      <w:lang w:val="en-US" w:eastAsia="en-US"/>
    </w:rPr>
  </w:style>
  <w:style w:type="paragraph" w:customStyle="1" w:styleId="TitleOfPaperCover">
    <w:name w:val="TitleOfPaper_Cover"/>
    <w:basedOn w:val="Normal"/>
    <w:qFormat/>
    <w:pPr>
      <w:keepNext/>
      <w:keepLines/>
      <w:tabs>
        <w:tab w:val="right" w:pos="8640"/>
      </w:tabs>
      <w:spacing w:line="480" w:lineRule="auto"/>
      <w:jc w:val="center"/>
    </w:pPr>
    <w:rPr>
      <w:szCs w:val="22"/>
      <w:lang w:val="en-US" w:eastAsia="en-US"/>
    </w:rPr>
  </w:style>
  <w:style w:type="paragraph" w:customStyle="1" w:styleId="AbstractText">
    <w:name w:val="Abstract Text"/>
    <w:basedOn w:val="Normal"/>
    <w:qFormat/>
    <w:pPr>
      <w:keepNext/>
      <w:tabs>
        <w:tab w:val="right" w:pos="8640"/>
      </w:tabs>
      <w:spacing w:line="480" w:lineRule="auto"/>
    </w:pPr>
    <w:rPr>
      <w:szCs w:val="22"/>
      <w:lang w:val="en-US" w:eastAsia="en-US"/>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kern w:val="36"/>
      <w:sz w:val="48"/>
      <w:szCs w:val="48"/>
      <w:lang w:eastAsia="en-GB"/>
    </w:rPr>
  </w:style>
  <w:style w:type="character" w:customStyle="1" w:styleId="addmd">
    <w:name w:val="addmd"/>
    <w:basedOn w:val="DefaultParagraphFont"/>
    <w:qFormat/>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en-GB"/>
    </w:rPr>
  </w:style>
  <w:style w:type="paragraph" w:customStyle="1" w:styleId="citation">
    <w:name w:val="citation"/>
    <w:basedOn w:val="Normal"/>
    <w:qFormat/>
    <w:pPr>
      <w:spacing w:before="100" w:beforeAutospacing="1" w:after="100" w:afterAutospacing="1"/>
      <w:ind w:firstLine="284"/>
    </w:pPr>
    <w:rPr>
      <w:lang w:val="en-US" w:eastAsia="en-US"/>
    </w:rPr>
  </w:style>
  <w:style w:type="character" w:customStyle="1" w:styleId="lrzxr">
    <w:name w:val="lrzxr"/>
    <w:basedOn w:val="DefaultParagraphFont"/>
    <w:qFormat/>
  </w:style>
  <w:style w:type="character" w:customStyle="1" w:styleId="HeaderChar">
    <w:name w:val="Header Char"/>
    <w:basedOn w:val="DefaultParagraphFont"/>
    <w:link w:val="Header"/>
    <w:uiPriority w:val="99"/>
    <w:qFormat/>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qFormat/>
    <w:rPr>
      <w:rFonts w:ascii="Times New Roman" w:eastAsia="Times New Roman" w:hAnsi="Times New Roman" w:cs="Times New Roman"/>
      <w:sz w:val="24"/>
      <w:szCs w:val="24"/>
      <w:lang w:eastAsia="en-GB"/>
    </w:rPr>
  </w:style>
  <w:style w:type="character" w:customStyle="1" w:styleId="FootnoteTextChar">
    <w:name w:val="Footnote Text Char"/>
    <w:basedOn w:val="DefaultParagraphFont"/>
    <w:link w:val="FootnoteText"/>
    <w:uiPriority w:val="99"/>
    <w:semiHidden/>
    <w:qFormat/>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oi.org/10.1111/phc3.12129" TargetMode="External"/><Relationship Id="rId13" Type="http://schemas.openxmlformats.org/officeDocument/2006/relationships/hyperlink" Target="https://doi.org/10.5281/zenodo.3353736" TargetMode="External"/><Relationship Id="rId18" Type="http://schemas.openxmlformats.org/officeDocument/2006/relationships/hyperlink" Target="https://www.jstor.org/stable/44986435"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doi.org/10.1146/annurev-environ-111109-144855" TargetMode="External"/><Relationship Id="rId12" Type="http://schemas.openxmlformats.org/officeDocument/2006/relationships/hyperlink" Target="http://www.jstor.org/stable/1229039" TargetMode="External"/><Relationship Id="rId17" Type="http://schemas.openxmlformats.org/officeDocument/2006/relationships/hyperlink" Target="http://www.britannica.com/topic/ecofeminism" TargetMode="External"/><Relationship Id="rId2" Type="http://schemas.openxmlformats.org/officeDocument/2006/relationships/styles" Target="styles.xml"/><Relationship Id="rId16" Type="http://schemas.openxmlformats.org/officeDocument/2006/relationships/hyperlink" Target="http://www.jstor.org/stable/10.1086/42680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ime.com/5560575/intersectionality-theory/" TargetMode="External"/><Relationship Id="rId5" Type="http://schemas.openxmlformats.org/officeDocument/2006/relationships/footnotes" Target="footnotes.xml"/><Relationship Id="rId15" Type="http://schemas.openxmlformats.org/officeDocument/2006/relationships/hyperlink" Target="http://www.youtube.com/watch?v=dZTSAIRHktQ" TargetMode="External"/><Relationship Id="rId10" Type="http://schemas.openxmlformats.org/officeDocument/2006/relationships/hyperlink" Target="http://www.jstor.org/stable/10.1086/669608" TargetMode="External"/><Relationship Id="rId19" Type="http://schemas.openxmlformats.org/officeDocument/2006/relationships/hyperlink" Target="https://vfast.org/journals/index.php/VTESS/article/view/802" TargetMode="External"/><Relationship Id="rId4" Type="http://schemas.openxmlformats.org/officeDocument/2006/relationships/webSettings" Target="webSettings.xml"/><Relationship Id="rId9" Type="http://schemas.openxmlformats.org/officeDocument/2006/relationships/hyperlink" Target="https://doi.org/10.1017/S1742058X13000349" TargetMode="External"/><Relationship Id="rId14" Type="http://schemas.openxmlformats.org/officeDocument/2006/relationships/hyperlink" Target="https://doi.org/10.1080/1369801X.2018.155809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4814B2D2-7CAA-49CE-B7B1-936D3269E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26</Pages>
  <Words>8469</Words>
  <Characters>48276</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MUNAZZA</dc:creator>
  <cp:lastModifiedBy>Barira Nazir</cp:lastModifiedBy>
  <cp:revision>47</cp:revision>
  <dcterms:created xsi:type="dcterms:W3CDTF">2024-04-28T08:55:00Z</dcterms:created>
  <dcterms:modified xsi:type="dcterms:W3CDTF">2025-07-22T07:56:00Z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3231E141CF1C43289C1C15C588B7392C_13</vt:lpwstr>
  </property>
</Properties>
</file>